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svg="http://schemas.microsoft.com/office/drawing/2016/SVG/main" mc:Ignorable="w14 w15 w16se w16cid w16 w16cex w16sdtdh w16sdtfl w16du wp14">
  <w:body>
    <w:p w:rsidRPr="00C43185" w:rsidR="00D8483B" w:rsidP="001B36EE" w:rsidRDefault="00362E3E" w14:paraId="5416A865" w14:textId="120A9732">
      <w:pPr>
        <w:spacing w:line="240" w:lineRule="auto"/>
        <w:rPr>
          <w:rFonts w:ascii="Poppins" w:hAnsi="Poppins" w:cs="Poppins"/>
        </w:rPr>
      </w:pPr>
      <w:r w:rsidRPr="00C43185">
        <w:rPr>
          <w:rFonts w:ascii="Poppins" w:hAnsi="Poppins" w:cs="Poppins"/>
          <w:noProof/>
          <w14:ligatures w14:val="standardContextual"/>
        </w:rPr>
        <mc:AlternateContent>
          <mc:Choice Requires="wps">
            <w:drawing>
              <wp:anchor distT="0" distB="0" distL="114300" distR="114300" simplePos="0" relativeHeight="251604991" behindDoc="1" locked="0" layoutInCell="1" allowOverlap="1" wp14:anchorId="5CABEE18" wp14:editId="0BA1129B">
                <wp:simplePos x="0" y="0"/>
                <wp:positionH relativeFrom="page">
                  <wp:align>left</wp:align>
                </wp:positionH>
                <wp:positionV relativeFrom="paragraph">
                  <wp:posOffset>-465602</wp:posOffset>
                </wp:positionV>
                <wp:extent cx="7794625" cy="9717206"/>
                <wp:effectExtent l="0" t="0" r="0" b="0"/>
                <wp:wrapNone/>
                <wp:docPr id="1938877725" name="Rectangle 1"/>
                <wp:cNvGraphicFramePr/>
                <a:graphic xmlns:a="http://schemas.openxmlformats.org/drawingml/2006/main">
                  <a:graphicData uri="http://schemas.microsoft.com/office/word/2010/wordprocessingShape">
                    <wps:wsp>
                      <wps:cNvSpPr/>
                      <wps:spPr>
                        <a:xfrm>
                          <a:off x="0" y="0"/>
                          <a:ext cx="7794625" cy="9717206"/>
                        </a:xfrm>
                        <a:prstGeom prst="rect">
                          <a:avLst/>
                        </a:prstGeom>
                        <a:solidFill>
                          <a:srgbClr val="C8CDDC">
                            <a:alpha val="40000"/>
                          </a:srgb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rsidR="008E2B76" w:rsidP="001B36EE" w:rsidRDefault="008E2B76" w14:paraId="03A98E88" w14:textId="7777777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D715345">
              <v:rect id="Rectangle 1" style="position:absolute;margin-left:0;margin-top:-36.65pt;width:613.75pt;height:765.15pt;z-index:-251711489;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c8cddc" stroked="f" strokeweight="2pt" w14:anchorId="5CABEE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">
                <v:fill opacity="26214f"/>
                <v:textbox>
                  <w:txbxContent>
                    <w:p w:rsidR="008E2B76" w:rsidP="001B36EE" w:rsidRDefault="008E2B76" w14:paraId="672A6659" w14:textId="77777777"/>
                  </w:txbxContent>
                </v:textbox>
                <w10:wrap anchorx="page"/>
              </v:rect>
            </w:pict>
          </mc:Fallback>
        </mc:AlternateContent>
      </w:r>
      <w:r w:rsidRPr="00C43185" w:rsidR="00285D69">
        <w:rPr>
          <w:rFonts w:ascii="Poppins" w:hAnsi="Poppins" w:cs="Poppins"/>
          <w:noProof/>
          <w:sz w:val="24"/>
          <w:szCs w:val="24"/>
        </w:rPr>
        <mc:AlternateContent>
          <mc:Choice Requires="wps">
            <w:drawing>
              <wp:anchor distT="45720" distB="45720" distL="114300" distR="114300" simplePos="0" relativeHeight="251700224" behindDoc="0" locked="0" layoutInCell="1" allowOverlap="1" wp14:anchorId="1CB51BE3" wp14:editId="74713BD3">
                <wp:simplePos x="0" y="0"/>
                <wp:positionH relativeFrom="margin">
                  <wp:posOffset>-320040</wp:posOffset>
                </wp:positionH>
                <wp:positionV relativeFrom="paragraph">
                  <wp:posOffset>5773420</wp:posOffset>
                </wp:positionV>
                <wp:extent cx="6141720" cy="1581785"/>
                <wp:effectExtent l="0" t="0" r="11430" b="18415"/>
                <wp:wrapSquare wrapText="bothSides"/>
                <wp:docPr id="8538761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1720" cy="1581785"/>
                        </a:xfrm>
                        <a:prstGeom prst="rect">
                          <a:avLst/>
                        </a:prstGeom>
                        <a:solidFill>
                          <a:srgbClr val="FFFFFF"/>
                        </a:solidFill>
                        <a:ln w="9525">
                          <a:solidFill>
                            <a:srgbClr val="000000"/>
                          </a:solidFill>
                          <a:miter lim="800000"/>
                          <a:headEnd/>
                          <a:tailEnd/>
                        </a:ln>
                      </wps:spPr>
                      <wps:txbx>
                        <w:txbxContent>
                          <w:p w:rsidRPr="008E2B76" w:rsidR="00F95D88" w:rsidP="008E2B76" w:rsidRDefault="00871B90" w14:paraId="45102944" w14:textId="48EB409C">
                            <w:pPr>
                              <w:spacing w:after="0" w:line="240" w:lineRule="auto"/>
                              <w:jc w:val="center"/>
                              <w:rPr>
                                <w:b/>
                                <w:bCs/>
                              </w:rPr>
                            </w:pPr>
                            <w:r w:rsidRPr="008E2B76">
                              <w:rPr>
                                <w:rFonts w:ascii="Poppins" w:hAnsi="Poppins" w:cs="Poppins"/>
                                <w:b/>
                                <w:bCs/>
                                <w:sz w:val="20"/>
                              </w:rPr>
                              <w:t>This medicinal product is subject to additional monitoring. This will allow quick identification of new safety information. Adverse events should be reported. Reporting forms and information can be found at  </w:t>
                            </w:r>
                            <w:hyperlink w:history="1" r:id="rId11">
                              <w:r w:rsidRPr="00130D6E">
                                <w:rPr>
                                  <w:rStyle w:val="Hyperlink"/>
                                  <w:rFonts w:ascii="Poppins" w:hAnsi="Poppins" w:cs="Poppins"/>
                                  <w:b/>
                                  <w:bCs/>
                                  <w:sz w:val="20"/>
                                </w:rPr>
                                <w:t>www.mhra.gov.uk/yellowcard</w:t>
                              </w:r>
                            </w:hyperlink>
                            <w:r w:rsidRPr="008E2B76">
                              <w:rPr>
                                <w:rFonts w:ascii="Poppins" w:hAnsi="Poppins" w:cs="Poppins"/>
                                <w:b/>
                                <w:bCs/>
                                <w:sz w:val="20"/>
                              </w:rPr>
                              <w:br/>
                            </w:r>
                            <w:r w:rsidRPr="008E2B76">
                              <w:rPr>
                                <w:rFonts w:ascii="Poppins" w:hAnsi="Poppins" w:cs="Poppins"/>
                                <w:b/>
                                <w:bCs/>
                                <w:sz w:val="20"/>
                              </w:rPr>
                              <w:t xml:space="preserve">or search for MHRA Yellow Card in the Google Play or Apple App Store. </w:t>
                            </w:r>
                            <w:r w:rsidRPr="008E2B76">
                              <w:rPr>
                                <w:rFonts w:ascii="Poppins" w:hAnsi="Poppins" w:cs="Poppins"/>
                                <w:b/>
                                <w:bCs/>
                                <w:sz w:val="20"/>
                              </w:rPr>
                              <w:br/>
                            </w:r>
                            <w:r w:rsidRPr="008E2B76">
                              <w:rPr>
                                <w:rFonts w:ascii="Poppins" w:hAnsi="Poppins" w:cs="Poppins"/>
                                <w:b/>
                                <w:bCs/>
                                <w:sz w:val="20"/>
                              </w:rPr>
                              <w:t xml:space="preserve">Adverse events should also be reported to the Sanofi drug safety department on </w:t>
                            </w:r>
                            <w:r w:rsidR="00285D69">
                              <w:rPr>
                                <w:rFonts w:ascii="Poppins" w:hAnsi="Poppins" w:cs="Poppins"/>
                                <w:b/>
                                <w:bCs/>
                                <w:sz w:val="20"/>
                              </w:rPr>
                              <w:br/>
                            </w:r>
                            <w:r w:rsidRPr="008E2B76">
                              <w:rPr>
                                <w:rFonts w:ascii="Poppins" w:hAnsi="Poppins" w:cs="Poppins"/>
                                <w:b/>
                                <w:bCs/>
                                <w:sz w:val="20"/>
                              </w:rPr>
                              <w:t xml:space="preserve">Tel: 0800 0902 314. Alternatively, send via email to </w:t>
                            </w:r>
                            <w:hyperlink w:history="1" r:id="rId12">
                              <w:r w:rsidRPr="00130D6E">
                                <w:rPr>
                                  <w:rStyle w:val="Hyperlink"/>
                                  <w:rFonts w:ascii="Poppins" w:hAnsi="Poppins" w:cs="Poppins"/>
                                  <w:b/>
                                  <w:bCs/>
                                  <w:sz w:val="20"/>
                                </w:rPr>
                                <w:t>UKdrugsafety@sanofi.com</w:t>
                              </w:r>
                            </w:hyperlink>
                            <w:r w:rsidRPr="008E2B76">
                              <w:rPr>
                                <w:rFonts w:ascii="Poppins" w:hAnsi="Poppins" w:cs="Poppins"/>
                                <w:b/>
                                <w:bCs/>
                                <w:sz w:val="20"/>
                              </w:rPr>
                              <w:t xml:space="preserve"> </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w14:anchorId="7F293038">
              <v:shapetype id="_x0000_t202" coordsize="21600,21600" o:spt="202" path="m,l,21600r21600,l21600,xe" w14:anchorId="1CB51BE3">
                <v:stroke joinstyle="miter"/>
                <v:path gradientshapeok="t" o:connecttype="rect"/>
              </v:shapetype>
              <v:shape id="Text Box 2" style="position:absolute;margin-left:-25.2pt;margin-top:454.6pt;width:483.6pt;height:124.5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spid="_x0000_s1027"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">
                <v:textbox>
                  <w:txbxContent>
                    <w:p w:rsidRPr="008E2B76" w:rsidR="00F95D88" w:rsidP="008E2B76" w:rsidRDefault="00871B90" w14:paraId="428FB61B" w14:textId="48EB409C">
                      <w:pPr>
                        <w:spacing w:after="0" w:line="240" w:lineRule="auto"/>
                        <w:jc w:val="center"/>
                        <w:rPr>
                          <w:b/>
                          <w:bCs/>
                        </w:rPr>
                      </w:pPr>
                      <w:r w:rsidRPr="008E2B76">
                        <w:rPr>
                          <w:rFonts w:ascii="Poppins" w:hAnsi="Poppins" w:cs="Poppins"/>
                          <w:b/>
                          <w:bCs/>
                          <w:sz w:val="20"/>
                        </w:rPr>
                        <w:t>This medicinal product is subject to additional monitoring. This will allow quick identification of new safety information. Adverse events should be reported. Reporting forms and information can be found at  </w:t>
                      </w:r>
                      <w:hyperlink w:history="1" r:id="rId13">
                        <w:r w:rsidRPr="00130D6E">
                          <w:rPr>
                            <w:rStyle w:val="Hyperlink"/>
                            <w:rFonts w:ascii="Poppins" w:hAnsi="Poppins" w:cs="Poppins"/>
                            <w:b/>
                            <w:bCs/>
                            <w:sz w:val="20"/>
                          </w:rPr>
                          <w:t>www.mhra.gov.uk/yellowcard</w:t>
                        </w:r>
                      </w:hyperlink>
                      <w:r w:rsidRPr="008E2B76">
                        <w:rPr>
                          <w:rFonts w:ascii="Poppins" w:hAnsi="Poppins" w:cs="Poppins"/>
                          <w:b/>
                          <w:bCs/>
                          <w:sz w:val="20"/>
                        </w:rPr>
                        <w:br/>
                      </w:r>
                      <w:r w:rsidRPr="008E2B76">
                        <w:rPr>
                          <w:rFonts w:ascii="Poppins" w:hAnsi="Poppins" w:cs="Poppins"/>
                          <w:b/>
                          <w:bCs/>
                          <w:sz w:val="20"/>
                        </w:rPr>
                        <w:t xml:space="preserve">or search for MHRA Yellow Card in the Google Play or Apple App Store. </w:t>
                      </w:r>
                      <w:r w:rsidRPr="008E2B76">
                        <w:rPr>
                          <w:rFonts w:ascii="Poppins" w:hAnsi="Poppins" w:cs="Poppins"/>
                          <w:b/>
                          <w:bCs/>
                          <w:sz w:val="20"/>
                        </w:rPr>
                        <w:br/>
                      </w:r>
                      <w:r w:rsidRPr="008E2B76">
                        <w:rPr>
                          <w:rFonts w:ascii="Poppins" w:hAnsi="Poppins" w:cs="Poppins"/>
                          <w:b/>
                          <w:bCs/>
                          <w:sz w:val="20"/>
                        </w:rPr>
                        <w:t xml:space="preserve">Adverse events should also be reported to the Sanofi drug safety department on </w:t>
                      </w:r>
                      <w:r w:rsidR="00285D69">
                        <w:rPr>
                          <w:rFonts w:ascii="Poppins" w:hAnsi="Poppins" w:cs="Poppins"/>
                          <w:b/>
                          <w:bCs/>
                          <w:sz w:val="20"/>
                        </w:rPr>
                        <w:br/>
                      </w:r>
                      <w:r w:rsidRPr="008E2B76">
                        <w:rPr>
                          <w:rFonts w:ascii="Poppins" w:hAnsi="Poppins" w:cs="Poppins"/>
                          <w:b/>
                          <w:bCs/>
                          <w:sz w:val="20"/>
                        </w:rPr>
                        <w:t xml:space="preserve">Tel: 0800 0902 314. Alternatively, send via email to </w:t>
                      </w:r>
                      <w:hyperlink w:history="1" r:id="rId14">
                        <w:r w:rsidRPr="00130D6E">
                          <w:rPr>
                            <w:rStyle w:val="Hyperlink"/>
                            <w:rFonts w:ascii="Poppins" w:hAnsi="Poppins" w:cs="Poppins"/>
                            <w:b/>
                            <w:bCs/>
                            <w:sz w:val="20"/>
                          </w:rPr>
                          <w:t>UKdrugsafety@sanofi.com</w:t>
                        </w:r>
                      </w:hyperlink>
                      <w:r w:rsidRPr="008E2B76">
                        <w:rPr>
                          <w:rFonts w:ascii="Poppins" w:hAnsi="Poppins" w:cs="Poppins"/>
                          <w:b/>
                          <w:bCs/>
                          <w:sz w:val="20"/>
                        </w:rPr>
                        <w:t xml:space="preserve"> </w:t>
                      </w:r>
                    </w:p>
                  </w:txbxContent>
                </v:textbox>
                <w10:wrap type="square" anchorx="margin"/>
              </v:shape>
            </w:pict>
          </mc:Fallback>
        </mc:AlternateContent>
      </w:r>
      <w:r w:rsidRPr="00C43185" w:rsidR="008E2B76">
        <w:rPr>
          <w:rFonts w:ascii="Poppins" w:hAnsi="Poppins" w:cs="Poppins"/>
          <w:noProof/>
        </w:rPr>
        <mc:AlternateContent>
          <mc:Choice Requires="wps">
            <w:drawing>
              <wp:anchor distT="45720" distB="45720" distL="114300" distR="114300" simplePos="0" relativeHeight="251715584" behindDoc="0" locked="0" layoutInCell="1" allowOverlap="1" wp14:anchorId="6CDEB6B2" wp14:editId="02A2F211">
                <wp:simplePos x="0" y="0"/>
                <wp:positionH relativeFrom="margin">
                  <wp:posOffset>-427355</wp:posOffset>
                </wp:positionH>
                <wp:positionV relativeFrom="paragraph">
                  <wp:posOffset>3660775</wp:posOffset>
                </wp:positionV>
                <wp:extent cx="6341110" cy="1404620"/>
                <wp:effectExtent l="0" t="0" r="0" b="0"/>
                <wp:wrapSquare wrapText="bothSides"/>
                <wp:docPr id="16283345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1110" cy="1404620"/>
                        </a:xfrm>
                        <a:prstGeom prst="rect">
                          <a:avLst/>
                        </a:prstGeom>
                        <a:noFill/>
                        <a:ln w="9525">
                          <a:noFill/>
                          <a:miter lim="800000"/>
                          <a:headEnd/>
                          <a:tailEnd/>
                        </a:ln>
                      </wps:spPr>
                      <wps:txbx>
                        <w:txbxContent>
                          <w:p w:rsidRPr="005910C1" w:rsidR="00E4040E" w:rsidP="008E2B76" w:rsidRDefault="00E4040E" w14:paraId="13CF6F23" w14:textId="101B846C">
                            <w:pPr>
                              <w:spacing w:before="120" w:line="240" w:lineRule="auto"/>
                              <w:rPr>
                                <w:rFonts w:ascii="Poppins" w:hAnsi="Poppins" w:cs="Poppins"/>
                                <w:b/>
                                <w:spacing w:val="-2"/>
                              </w:rPr>
                            </w:pPr>
                            <w:r w:rsidRPr="005910C1">
                              <w:rPr>
                                <w:rFonts w:ascii="Poppins" w:hAnsi="Poppins" w:cs="Poppins"/>
                                <w:spacing w:val="-2"/>
                              </w:rPr>
                              <w:t xml:space="preserve">This document is intended to support healthcare professionals and other relevant decision makers in completing a local business case for developing a service to deliver </w:t>
                            </w:r>
                            <w:r w:rsidRPr="005910C1" w:rsidR="00007BC7">
                              <w:rPr>
                                <w:rFonts w:ascii="Poppins" w:hAnsi="Poppins" w:cs="Poppins"/>
                                <w:spacing w:val="-2"/>
                              </w:rPr>
                              <w:t>teplizumab</w:t>
                            </w:r>
                            <w:r w:rsidRPr="005910C1" w:rsidR="003A1069">
                              <w:rPr>
                                <w:rFonts w:ascii="Poppins" w:hAnsi="Poppins" w:cs="Poppins"/>
                                <w:spacing w:val="-2"/>
                              </w:rPr>
                              <w:t xml:space="preserve"> </w:t>
                            </w:r>
                            <w:r w:rsidRPr="005910C1">
                              <w:rPr>
                                <w:rFonts w:ascii="Poppins" w:hAnsi="Poppins" w:cs="Poppins"/>
                                <w:spacing w:val="-2"/>
                              </w:rPr>
                              <w:t>in its indication to delay the onset of Stage 3 type 1 diabetes in adult and paediatric patients 8 years of age and older with Stage 2 type 1 diabetes (T1D).</w:t>
                            </w:r>
                            <w:r w:rsidRPr="005910C1">
                              <w:rPr>
                                <w:rFonts w:ascii="Poppins" w:hAnsi="Poppins" w:cs="Poppins"/>
                                <w:spacing w:val="-2"/>
                              </w:rPr>
                              <w:fldChar w:fldCharType="begin"/>
                            </w:r>
                            <w:r w:rsidRPr="005910C1">
                              <w:rPr>
                                <w:rFonts w:ascii="Poppins" w:hAnsi="Poppins" w:cs="Poppins"/>
                                <w:spacing w:val="-2"/>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Characteristics&lt;/title&gt;&lt;/titles&gt;&lt;dates&gt;&lt;/dates&gt;&lt;urls&gt;&lt;/urls&gt;&lt;/record&gt;&lt;/Cite&gt;&lt;/EndNote&gt;</w:instrText>
                            </w:r>
                            <w:r w:rsidRPr="005910C1">
                              <w:rPr>
                                <w:rFonts w:ascii="Poppins" w:hAnsi="Poppins" w:cs="Poppins"/>
                                <w:spacing w:val="-2"/>
                              </w:rPr>
                              <w:fldChar w:fldCharType="separate"/>
                            </w:r>
                            <w:r w:rsidRPr="005910C1">
                              <w:rPr>
                                <w:rFonts w:ascii="Poppins" w:hAnsi="Poppins" w:cs="Poppins"/>
                                <w:noProof/>
                                <w:spacing w:val="-2"/>
                                <w:vertAlign w:val="superscript"/>
                              </w:rPr>
                              <w:t>(TZIELD® SmPC)</w:t>
                            </w:r>
                            <w:r w:rsidRPr="005910C1">
                              <w:rPr>
                                <w:rFonts w:ascii="Poppins" w:hAnsi="Poppins" w:cs="Poppins"/>
                                <w:spacing w:val="-2"/>
                              </w:rPr>
                              <w:fldChar w:fldCharType="end"/>
                            </w:r>
                            <w:r w:rsidRPr="005910C1">
                              <w:rPr>
                                <w:rFonts w:ascii="Poppins" w:hAnsi="Poppins" w:cs="Poppins"/>
                                <w:b/>
                                <w:spacing w:val="-2"/>
                              </w:rPr>
                              <w:t xml:space="preserve"> </w:t>
                            </w:r>
                          </w:p>
                          <w:p w:rsidRPr="005910C1" w:rsidR="00AB756E" w:rsidP="008E2B76" w:rsidRDefault="00E4040E" w14:paraId="5EAC983A" w14:textId="03BA3D75">
                            <w:pPr>
                              <w:spacing w:before="120" w:line="240" w:lineRule="auto"/>
                              <w:rPr>
                                <w:sz w:val="20"/>
                                <w:szCs w:val="20"/>
                              </w:rPr>
                            </w:pPr>
                            <w:r w:rsidRPr="005910C1">
                              <w:rPr>
                                <w:rFonts w:ascii="Poppins" w:hAnsi="Poppins" w:cs="Poppins"/>
                              </w:rPr>
                              <w:t xml:space="preserve">This promotional material was developed and funded by Sanofi and is intended for United Kingdom (UK) healthcare professionals and other relevant decision makers only.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718749C9">
              <v:shape id="_x0000_s1028" style="position:absolute;margin-left:-33.65pt;margin-top:288.25pt;width:499.3pt;height:110.6pt;z-index:251715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" w14:anchorId="6CDEB6B2">
                <v:textbox style="mso-fit-shape-to-text:t">
                  <w:txbxContent>
                    <w:p w:rsidRPr="005910C1" w:rsidR="00E4040E" w:rsidP="008E2B76" w:rsidRDefault="00E4040E" w14:paraId="4D43ACD5" w14:textId="101B846C">
                      <w:pPr>
                        <w:spacing w:before="120" w:line="240" w:lineRule="auto"/>
                        <w:rPr>
                          <w:rFonts w:ascii="Poppins" w:hAnsi="Poppins" w:cs="Poppins"/>
                          <w:b/>
                          <w:spacing w:val="-2"/>
                        </w:rPr>
                      </w:pPr>
                      <w:r w:rsidRPr="005910C1">
                        <w:rPr>
                          <w:rFonts w:ascii="Poppins" w:hAnsi="Poppins" w:cs="Poppins"/>
                          <w:spacing w:val="-2"/>
                        </w:rPr>
                        <w:t xml:space="preserve">This document is intended to support healthcare professionals and other relevant decision makers in completing a local business case for developing a service to deliver </w:t>
                      </w:r>
                      <w:r w:rsidRPr="005910C1" w:rsidR="00007BC7">
                        <w:rPr>
                          <w:rFonts w:ascii="Poppins" w:hAnsi="Poppins" w:cs="Poppins"/>
                          <w:spacing w:val="-2"/>
                        </w:rPr>
                        <w:t>teplizumab</w:t>
                      </w:r>
                      <w:r w:rsidRPr="005910C1" w:rsidR="003A1069">
                        <w:rPr>
                          <w:rFonts w:ascii="Poppins" w:hAnsi="Poppins" w:cs="Poppins"/>
                          <w:spacing w:val="-2"/>
                        </w:rPr>
                        <w:t xml:space="preserve"> </w:t>
                      </w:r>
                      <w:r w:rsidRPr="005910C1">
                        <w:rPr>
                          <w:rFonts w:ascii="Poppins" w:hAnsi="Poppins" w:cs="Poppins"/>
                          <w:spacing w:val="-2"/>
                        </w:rPr>
                        <w:t>in its indication to delay the onset of Stage 3 type 1 diabetes in adult and paediatric patients 8 years of age and older with Stage 2 type 1 diabetes (T1D).</w:t>
                      </w:r>
                      <w:r w:rsidRPr="005910C1">
                        <w:rPr>
                          <w:rFonts w:ascii="Poppins" w:hAnsi="Poppins" w:cs="Poppins"/>
                          <w:spacing w:val="-2"/>
                        </w:rPr>
                        <w:fldChar w:fldCharType="begin"/>
                      </w:r>
                      <w:r w:rsidRPr="005910C1">
                        <w:rPr>
                          <w:rFonts w:ascii="Poppins" w:hAnsi="Poppins" w:cs="Poppins"/>
                          <w:spacing w:val="-2"/>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Characteristics&lt;/title&gt;&lt;/titles&gt;&lt;dates&gt;&lt;/dates&gt;&lt;urls&gt;&lt;/urls&gt;&lt;/record&gt;&lt;/Cite&gt;&lt;/EndNote&gt;</w:instrText>
                      </w:r>
                      <w:r w:rsidRPr="005910C1">
                        <w:rPr>
                          <w:rFonts w:ascii="Poppins" w:hAnsi="Poppins" w:cs="Poppins"/>
                          <w:spacing w:val="-2"/>
                        </w:rPr>
                        <w:fldChar w:fldCharType="separate"/>
                      </w:r>
                      <w:r w:rsidRPr="005910C1">
                        <w:rPr>
                          <w:rFonts w:ascii="Poppins" w:hAnsi="Poppins" w:cs="Poppins"/>
                          <w:noProof/>
                          <w:spacing w:val="-2"/>
                          <w:vertAlign w:val="superscript"/>
                        </w:rPr>
                        <w:t>(TZIELD® SmPC)</w:t>
                      </w:r>
                      <w:r w:rsidRPr="005910C1">
                        <w:rPr>
                          <w:rFonts w:ascii="Poppins" w:hAnsi="Poppins" w:cs="Poppins"/>
                          <w:spacing w:val="-2"/>
                        </w:rPr>
                        <w:fldChar w:fldCharType="end"/>
                      </w:r>
                      <w:r w:rsidRPr="005910C1">
                        <w:rPr>
                          <w:rFonts w:ascii="Poppins" w:hAnsi="Poppins" w:cs="Poppins"/>
                          <w:b/>
                          <w:spacing w:val="-2"/>
                        </w:rPr>
                        <w:t xml:space="preserve"> </w:t>
                      </w:r>
                    </w:p>
                    <w:p w:rsidRPr="005910C1" w:rsidR="00AB756E" w:rsidP="008E2B76" w:rsidRDefault="00E4040E" w14:paraId="00FBEDCA" w14:textId="03BA3D75">
                      <w:pPr>
                        <w:spacing w:before="120" w:line="240" w:lineRule="auto"/>
                        <w:rPr>
                          <w:sz w:val="20"/>
                          <w:szCs w:val="20"/>
                        </w:rPr>
                      </w:pPr>
                      <w:r w:rsidRPr="005910C1">
                        <w:rPr>
                          <w:rFonts w:ascii="Poppins" w:hAnsi="Poppins" w:cs="Poppins"/>
                        </w:rPr>
                        <w:t xml:space="preserve">This promotional material was developed and funded by Sanofi and is intended for United Kingdom (UK) healthcare professionals and other relevant decision makers only.  </w:t>
                      </w:r>
                    </w:p>
                  </w:txbxContent>
                </v:textbox>
                <w10:wrap type="square" anchorx="margin"/>
              </v:shape>
            </w:pict>
          </mc:Fallback>
        </mc:AlternateContent>
      </w:r>
      <w:r w:rsidRPr="00C43185" w:rsidR="008E2B76">
        <w:rPr>
          <w:rFonts w:ascii="Poppins" w:hAnsi="Poppins" w:cs="Poppins"/>
          <w:noProof/>
        </w:rPr>
        <mc:AlternateContent>
          <mc:Choice Requires="wps">
            <w:drawing>
              <wp:anchor distT="45720" distB="45720" distL="114300" distR="114300" simplePos="0" relativeHeight="251670528" behindDoc="0" locked="0" layoutInCell="1" allowOverlap="1" wp14:anchorId="656E171F" wp14:editId="529F3605">
                <wp:simplePos x="0" y="0"/>
                <wp:positionH relativeFrom="margin">
                  <wp:posOffset>-427990</wp:posOffset>
                </wp:positionH>
                <wp:positionV relativeFrom="paragraph">
                  <wp:posOffset>1319861</wp:posOffset>
                </wp:positionV>
                <wp:extent cx="6339205" cy="2265680"/>
                <wp:effectExtent l="0" t="0" r="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9205" cy="2265680"/>
                        </a:xfrm>
                        <a:prstGeom prst="rect">
                          <a:avLst/>
                        </a:prstGeom>
                        <a:noFill/>
                        <a:ln w="9525">
                          <a:noFill/>
                          <a:miter lim="800000"/>
                          <a:headEnd/>
                          <a:tailEnd/>
                        </a:ln>
                      </wps:spPr>
                      <wps:txbx>
                        <w:txbxContent>
                          <w:p w:rsidRPr="008E2B76" w:rsidR="000E6D81" w:rsidP="00727D8D" w:rsidRDefault="000E6D81" w14:paraId="46309E08" w14:textId="7C39A8BC">
                            <w:pPr>
                              <w:spacing w:after="0" w:line="820" w:lineRule="exact"/>
                              <w:rPr>
                                <w:rFonts w:ascii="Poppins" w:hAnsi="Poppins" w:eastAsia="Calibri" w:cs="Poppins"/>
                                <w:b/>
                                <w:color w:val="0023C8"/>
                                <w:sz w:val="72"/>
                                <w:szCs w:val="72"/>
                                <w:lang w:val="en-GB"/>
                              </w:rPr>
                            </w:pPr>
                            <w:r w:rsidRPr="008E2B76">
                              <w:rPr>
                                <w:rFonts w:ascii="Poppins" w:hAnsi="Poppins" w:eastAsia="Calibri" w:cs="Poppins"/>
                                <w:b/>
                                <w:color w:val="0023C8"/>
                                <w:sz w:val="72"/>
                                <w:szCs w:val="72"/>
                                <w:lang w:val="en-GB"/>
                              </w:rPr>
                              <w:t xml:space="preserve">Business case </w:t>
                            </w:r>
                            <w:r w:rsidRPr="008E2B76" w:rsidR="00CC3533">
                              <w:rPr>
                                <w:rFonts w:ascii="Poppins" w:hAnsi="Poppins" w:eastAsia="Calibri" w:cs="Poppins"/>
                                <w:b/>
                                <w:color w:val="0023C8"/>
                                <w:sz w:val="72"/>
                                <w:szCs w:val="72"/>
                                <w:lang w:val="en-GB"/>
                              </w:rPr>
                              <w:t>resource</w:t>
                            </w:r>
                            <w:r w:rsidRPr="008E2B76">
                              <w:rPr>
                                <w:rFonts w:ascii="Poppins" w:hAnsi="Poppins" w:eastAsia="Calibri" w:cs="Poppins"/>
                                <w:b/>
                                <w:color w:val="0023C8"/>
                                <w:sz w:val="72"/>
                                <w:szCs w:val="72"/>
                                <w:lang w:val="en-GB"/>
                              </w:rPr>
                              <w:t xml:space="preserve"> for </w:t>
                            </w:r>
                            <w:r w:rsidRPr="00130D6E">
                              <w:rPr>
                                <w:rFonts w:ascii="Poppins" w:hAnsi="Poppins" w:eastAsia="Calibri" w:cs="Poppins"/>
                                <w:b/>
                                <w:color w:val="0023C8"/>
                                <w:sz w:val="72"/>
                                <w:szCs w:val="72"/>
                                <w:lang w:val="en-GB"/>
                              </w:rPr>
                              <w:t>the</w:t>
                            </w:r>
                            <w:r w:rsidRPr="008E2B76">
                              <w:rPr>
                                <w:rFonts w:ascii="Poppins" w:hAnsi="Poppins" w:eastAsia="Calibri" w:cs="Poppins"/>
                                <w:b/>
                                <w:color w:val="0023C8"/>
                                <w:sz w:val="72"/>
                                <w:szCs w:val="72"/>
                                <w:lang w:val="en-GB"/>
                              </w:rPr>
                              <w:t xml:space="preserve"> de</w:t>
                            </w:r>
                            <w:r w:rsidRPr="008E2B76" w:rsidR="00D9552E">
                              <w:rPr>
                                <w:rFonts w:ascii="Poppins" w:hAnsi="Poppins" w:eastAsia="Calibri" w:cs="Poppins"/>
                                <w:b/>
                                <w:color w:val="0023C8"/>
                                <w:sz w:val="72"/>
                                <w:szCs w:val="72"/>
                                <w:lang w:val="en-GB"/>
                              </w:rPr>
                              <w:t xml:space="preserve">velopment of </w:t>
                            </w:r>
                            <w:r w:rsidR="008E2B76">
                              <w:rPr>
                                <w:rFonts w:ascii="Poppins" w:hAnsi="Poppins" w:eastAsia="Calibri" w:cs="Poppins"/>
                                <w:b/>
                                <w:color w:val="0023C8"/>
                                <w:sz w:val="72"/>
                                <w:szCs w:val="72"/>
                                <w:lang w:val="en-GB"/>
                              </w:rPr>
                              <w:br/>
                            </w:r>
                            <w:r w:rsidRPr="008E2B76" w:rsidR="00D9552E">
                              <w:rPr>
                                <w:rFonts w:ascii="Poppins" w:hAnsi="Poppins" w:eastAsia="Calibri" w:cs="Poppins"/>
                                <w:b/>
                                <w:color w:val="0023C8"/>
                                <w:sz w:val="72"/>
                                <w:szCs w:val="72"/>
                                <w:lang w:val="en-GB"/>
                              </w:rPr>
                              <w:t xml:space="preserve">a service to </w:t>
                            </w:r>
                            <w:r w:rsidRPr="008E2B76" w:rsidR="00E4040E">
                              <w:rPr>
                                <w:rFonts w:ascii="Poppins" w:hAnsi="Poppins" w:eastAsia="Calibri" w:cs="Poppins"/>
                                <w:b/>
                                <w:color w:val="0023C8"/>
                                <w:sz w:val="72"/>
                                <w:szCs w:val="72"/>
                                <w:lang w:val="en-GB"/>
                              </w:rPr>
                              <w:t>d</w:t>
                            </w:r>
                            <w:r w:rsidRPr="008E2B76" w:rsidR="00D9552E">
                              <w:rPr>
                                <w:rFonts w:ascii="Poppins" w:hAnsi="Poppins" w:eastAsia="Calibri" w:cs="Poppins"/>
                                <w:b/>
                                <w:color w:val="0023C8"/>
                                <w:sz w:val="72"/>
                                <w:szCs w:val="72"/>
                                <w:lang w:val="en-GB"/>
                              </w:rPr>
                              <w:t xml:space="preserve">eliver </w:t>
                            </w:r>
                            <w:r w:rsidRPr="008E2B76" w:rsidR="00007BC7">
                              <w:rPr>
                                <w:rFonts w:ascii="Poppins" w:hAnsi="Poppins" w:eastAsia="Calibri" w:cs="Poppins"/>
                                <w:b/>
                                <w:color w:val="0023C8"/>
                                <w:sz w:val="72"/>
                                <w:szCs w:val="72"/>
                                <w:lang w:val="en-GB"/>
                              </w:rPr>
                              <w:t>teplizumab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0BE4132D">
              <v:shape id="_x0000_s1029" style="position:absolute;margin-left:-33.7pt;margin-top:103.95pt;width:499.15pt;height:178.4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" w14:anchorId="656E171F">
                <v:textbox>
                  <w:txbxContent>
                    <w:p w:rsidRPr="008E2B76" w:rsidR="000E6D81" w:rsidP="00727D8D" w:rsidRDefault="000E6D81" w14:paraId="1C16ED4D" w14:textId="7C39A8BC">
                      <w:pPr>
                        <w:spacing w:after="0" w:line="820" w:lineRule="exact"/>
                        <w:rPr>
                          <w:rFonts w:ascii="Poppins" w:hAnsi="Poppins" w:eastAsia="Calibri" w:cs="Poppins"/>
                          <w:b/>
                          <w:color w:val="0023C8"/>
                          <w:sz w:val="72"/>
                          <w:szCs w:val="72"/>
                          <w:lang w:val="en-GB"/>
                        </w:rPr>
                      </w:pPr>
                      <w:r w:rsidRPr="008E2B76">
                        <w:rPr>
                          <w:rFonts w:ascii="Poppins" w:hAnsi="Poppins" w:eastAsia="Calibri" w:cs="Poppins"/>
                          <w:b/>
                          <w:color w:val="0023C8"/>
                          <w:sz w:val="72"/>
                          <w:szCs w:val="72"/>
                          <w:lang w:val="en-GB"/>
                        </w:rPr>
                        <w:t xml:space="preserve">Business case </w:t>
                      </w:r>
                      <w:r w:rsidRPr="008E2B76" w:rsidR="00CC3533">
                        <w:rPr>
                          <w:rFonts w:ascii="Poppins" w:hAnsi="Poppins" w:eastAsia="Calibri" w:cs="Poppins"/>
                          <w:b/>
                          <w:color w:val="0023C8"/>
                          <w:sz w:val="72"/>
                          <w:szCs w:val="72"/>
                          <w:lang w:val="en-GB"/>
                        </w:rPr>
                        <w:t>resource</w:t>
                      </w:r>
                      <w:r w:rsidRPr="008E2B76">
                        <w:rPr>
                          <w:rFonts w:ascii="Poppins" w:hAnsi="Poppins" w:eastAsia="Calibri" w:cs="Poppins"/>
                          <w:b/>
                          <w:color w:val="0023C8"/>
                          <w:sz w:val="72"/>
                          <w:szCs w:val="72"/>
                          <w:lang w:val="en-GB"/>
                        </w:rPr>
                        <w:t xml:space="preserve"> for </w:t>
                      </w:r>
                      <w:r w:rsidRPr="00130D6E">
                        <w:rPr>
                          <w:rFonts w:ascii="Poppins" w:hAnsi="Poppins" w:eastAsia="Calibri" w:cs="Poppins"/>
                          <w:b/>
                          <w:color w:val="0023C8"/>
                          <w:sz w:val="72"/>
                          <w:szCs w:val="72"/>
                          <w:lang w:val="en-GB"/>
                        </w:rPr>
                        <w:t>the</w:t>
                      </w:r>
                      <w:r w:rsidRPr="008E2B76">
                        <w:rPr>
                          <w:rFonts w:ascii="Poppins" w:hAnsi="Poppins" w:eastAsia="Calibri" w:cs="Poppins"/>
                          <w:b/>
                          <w:color w:val="0023C8"/>
                          <w:sz w:val="72"/>
                          <w:szCs w:val="72"/>
                          <w:lang w:val="en-GB"/>
                        </w:rPr>
                        <w:t xml:space="preserve"> de</w:t>
                      </w:r>
                      <w:r w:rsidRPr="008E2B76" w:rsidR="00D9552E">
                        <w:rPr>
                          <w:rFonts w:ascii="Poppins" w:hAnsi="Poppins" w:eastAsia="Calibri" w:cs="Poppins"/>
                          <w:b/>
                          <w:color w:val="0023C8"/>
                          <w:sz w:val="72"/>
                          <w:szCs w:val="72"/>
                          <w:lang w:val="en-GB"/>
                        </w:rPr>
                        <w:t xml:space="preserve">velopment of </w:t>
                      </w:r>
                      <w:r w:rsidR="008E2B76">
                        <w:rPr>
                          <w:rFonts w:ascii="Poppins" w:hAnsi="Poppins" w:eastAsia="Calibri" w:cs="Poppins"/>
                          <w:b/>
                          <w:color w:val="0023C8"/>
                          <w:sz w:val="72"/>
                          <w:szCs w:val="72"/>
                          <w:lang w:val="en-GB"/>
                        </w:rPr>
                        <w:br/>
                      </w:r>
                      <w:r w:rsidRPr="008E2B76" w:rsidR="00D9552E">
                        <w:rPr>
                          <w:rFonts w:ascii="Poppins" w:hAnsi="Poppins" w:eastAsia="Calibri" w:cs="Poppins"/>
                          <w:b/>
                          <w:color w:val="0023C8"/>
                          <w:sz w:val="72"/>
                          <w:szCs w:val="72"/>
                          <w:lang w:val="en-GB"/>
                        </w:rPr>
                        <w:t xml:space="preserve">a service to </w:t>
                      </w:r>
                      <w:r w:rsidRPr="008E2B76" w:rsidR="00E4040E">
                        <w:rPr>
                          <w:rFonts w:ascii="Poppins" w:hAnsi="Poppins" w:eastAsia="Calibri" w:cs="Poppins"/>
                          <w:b/>
                          <w:color w:val="0023C8"/>
                          <w:sz w:val="72"/>
                          <w:szCs w:val="72"/>
                          <w:lang w:val="en-GB"/>
                        </w:rPr>
                        <w:t>d</w:t>
                      </w:r>
                      <w:r w:rsidRPr="008E2B76" w:rsidR="00D9552E">
                        <w:rPr>
                          <w:rFonts w:ascii="Poppins" w:hAnsi="Poppins" w:eastAsia="Calibri" w:cs="Poppins"/>
                          <w:b/>
                          <w:color w:val="0023C8"/>
                          <w:sz w:val="72"/>
                          <w:szCs w:val="72"/>
                          <w:lang w:val="en-GB"/>
                        </w:rPr>
                        <w:t xml:space="preserve">eliver </w:t>
                      </w:r>
                      <w:r w:rsidRPr="008E2B76" w:rsidR="00007BC7">
                        <w:rPr>
                          <w:rFonts w:ascii="Poppins" w:hAnsi="Poppins" w:eastAsia="Calibri" w:cs="Poppins"/>
                          <w:b/>
                          <w:color w:val="0023C8"/>
                          <w:sz w:val="72"/>
                          <w:szCs w:val="72"/>
                          <w:lang w:val="en-GB"/>
                        </w:rPr>
                        <w:t>teplizumab</w:t>
                      </w:r>
                    </w:p>
                  </w:txbxContent>
                </v:textbox>
                <w10:wrap type="square" anchorx="margin"/>
              </v:shape>
            </w:pict>
          </mc:Fallback>
        </mc:AlternateContent>
      </w:r>
      <w:r w:rsidRPr="00C43185" w:rsidR="008E2B76">
        <w:rPr>
          <w:rFonts w:ascii="Poppins" w:hAnsi="Poppins" w:cs="Poppins"/>
          <w:noProof/>
          <w14:ligatures w14:val="standardContextual"/>
        </w:rPr>
        <w:drawing>
          <wp:anchor distT="0" distB="0" distL="114300" distR="114300" simplePos="0" relativeHeight="251645952" behindDoc="0" locked="0" layoutInCell="1" allowOverlap="1" wp14:anchorId="7C1B7619" wp14:editId="7FEF7D63">
            <wp:simplePos x="0" y="0"/>
            <wp:positionH relativeFrom="column">
              <wp:posOffset>-427990</wp:posOffset>
            </wp:positionH>
            <wp:positionV relativeFrom="paragraph">
              <wp:posOffset>304</wp:posOffset>
            </wp:positionV>
            <wp:extent cx="2337435" cy="1285875"/>
            <wp:effectExtent l="0" t="0" r="5715" b="0"/>
            <wp:wrapTopAndBottom/>
            <wp:docPr id="2040246385" name="Picture 2" descr="A blue and orang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246385" name="Picture 2" descr="A blue and orange logo&#10;&#10;AI-generated content may be incorrect."/>
                    <pic:cNvPicPr/>
                  </pic:nvPicPr>
                  <pic:blipFill rotWithShape="1">
                    <a:blip r:embed="rId15"/>
                    <a:srcRect l="-1308" t="-3473" r="-1435" b="-16169"/>
                    <a:stretch>
                      <a:fillRect/>
                    </a:stretch>
                  </pic:blipFill>
                  <pic:spPr bwMode="auto">
                    <a:xfrm>
                      <a:off x="0" y="0"/>
                      <a:ext cx="2337435" cy="1285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43185" w:rsidR="008E2B76">
        <w:rPr>
          <w:rFonts w:ascii="Poppins" w:hAnsi="Poppins" w:cs="Poppins"/>
          <w:noProof/>
          <w14:ligatures w14:val="standardContextual"/>
        </w:rPr>
        <mc:AlternateContent>
          <mc:Choice Requires="wps">
            <w:drawing>
              <wp:anchor distT="0" distB="0" distL="114300" distR="114300" simplePos="0" relativeHeight="251606016" behindDoc="1" locked="0" layoutInCell="1" allowOverlap="1" wp14:anchorId="3ACD0CCA" wp14:editId="0E577295">
                <wp:simplePos x="0" y="0"/>
                <wp:positionH relativeFrom="page">
                  <wp:posOffset>-135172</wp:posOffset>
                </wp:positionH>
                <wp:positionV relativeFrom="paragraph">
                  <wp:posOffset>-905676</wp:posOffset>
                </wp:positionV>
                <wp:extent cx="7904425" cy="501650"/>
                <wp:effectExtent l="0" t="0" r="1905" b="0"/>
                <wp:wrapNone/>
                <wp:docPr id="1939541463" name="Rectangle 1"/>
                <wp:cNvGraphicFramePr/>
                <a:graphic xmlns:a="http://schemas.openxmlformats.org/drawingml/2006/main">
                  <a:graphicData uri="http://schemas.microsoft.com/office/word/2010/wordprocessingShape">
                    <wps:wsp>
                      <wps:cNvSpPr/>
                      <wps:spPr>
                        <a:xfrm>
                          <a:off x="0" y="0"/>
                          <a:ext cx="7904425" cy="501650"/>
                        </a:xfrm>
                        <a:prstGeom prst="rect">
                          <a:avLst/>
                        </a:prstGeom>
                        <a:solidFill>
                          <a:srgbClr val="0023C8"/>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rsidRPr="0080005D" w:rsidR="009C3E4C" w:rsidP="009C3E4C" w:rsidRDefault="009C3E4C" w14:paraId="6CB93F5F" w14:textId="77777777">
                            <w:pPr>
                              <w:jc w:val="center"/>
                              <w:rPr>
                                <w:rFonts w:ascii="Poppins" w:hAnsi="Poppins" w:cs="Poppins"/>
                              </w:rPr>
                            </w:pPr>
                          </w:p>
                        </w:txbxContent>
                      </wps:txbx>
                      <wps:bodyPr rot="0" spcFirstLastPara="0" vertOverflow="overflow" horzOverflow="overflow" vert="horz" wrap="square" lIns="0" tIns="72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E1E5498">
              <v:rect id="_x0000_s1030" style="position:absolute;margin-left:-10.65pt;margin-top:-71.3pt;width:622.4pt;height:39.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fillcolor="#0023c8" stroked="f" strokeweight="2pt" w14:anchorId="3ACD0C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">
                <v:textbox inset="0,2mm,0,0">
                  <w:txbxContent>
                    <w:p w:rsidRPr="0080005D" w:rsidR="009C3E4C" w:rsidP="009C3E4C" w:rsidRDefault="009C3E4C" w14:paraId="0A37501D" w14:textId="77777777">
                      <w:pPr>
                        <w:jc w:val="center"/>
                        <w:rPr>
                          <w:rFonts w:ascii="Poppins" w:hAnsi="Poppins" w:cs="Poppins"/>
                        </w:rPr>
                      </w:pPr>
                    </w:p>
                  </w:txbxContent>
                </v:textbox>
                <w10:wrap anchorx="page"/>
              </v:rect>
            </w:pict>
          </mc:Fallback>
        </mc:AlternateContent>
      </w:r>
      <w:r w:rsidRPr="00C43185" w:rsidR="008E2B76">
        <w:rPr>
          <w:rFonts w:ascii="Poppins" w:hAnsi="Poppins" w:cs="Poppins"/>
          <w:noProof/>
          <w:sz w:val="24"/>
          <w:szCs w:val="24"/>
        </w:rPr>
        <mc:AlternateContent>
          <mc:Choice Requires="wps">
            <w:drawing>
              <wp:anchor distT="0" distB="0" distL="114300" distR="114300" simplePos="0" relativeHeight="251725824" behindDoc="0" locked="0" layoutInCell="1" allowOverlap="1" wp14:anchorId="79C8FDB4" wp14:editId="1B0BC444">
                <wp:simplePos x="0" y="0"/>
                <wp:positionH relativeFrom="margin">
                  <wp:posOffset>-426085</wp:posOffset>
                </wp:positionH>
                <wp:positionV relativeFrom="paragraph">
                  <wp:posOffset>7711109</wp:posOffset>
                </wp:positionV>
                <wp:extent cx="6339205" cy="381000"/>
                <wp:effectExtent l="0" t="0" r="0" b="0"/>
                <wp:wrapNone/>
                <wp:docPr id="142334838" name="Text Box 2"/>
                <wp:cNvGraphicFramePr/>
                <a:graphic xmlns:a="http://schemas.openxmlformats.org/drawingml/2006/main">
                  <a:graphicData uri="http://schemas.microsoft.com/office/word/2010/wordprocessingShape">
                    <wps:wsp>
                      <wps:cNvSpPr txBox="1"/>
                      <wps:spPr>
                        <a:xfrm>
                          <a:off x="0" y="0"/>
                          <a:ext cx="6339205" cy="381000"/>
                        </a:xfrm>
                        <a:prstGeom prst="rect">
                          <a:avLst/>
                        </a:prstGeom>
                        <a:noFill/>
                        <a:ln w="6350">
                          <a:noFill/>
                        </a:ln>
                      </wps:spPr>
                      <wps:txbx>
                        <w:txbxContent>
                          <w:p w:rsidRPr="008E2B76" w:rsidR="00871B90" w:rsidRDefault="00871B90" w14:paraId="1C86ED8D" w14:textId="42C71E6A">
                            <w:pPr>
                              <w:rPr>
                                <w:sz w:val="18"/>
                                <w:szCs w:val="18"/>
                              </w:rPr>
                            </w:pPr>
                            <w:r w:rsidRPr="008E2B76">
                              <w:rPr>
                                <w:rFonts w:ascii="Poppins" w:hAnsi="Poppins" w:cs="Poppins"/>
                                <w:sz w:val="20"/>
                                <w:szCs w:val="20"/>
                              </w:rPr>
                              <w:t xml:space="preserve">Prescribing information for Tzield be found </w:t>
                            </w:r>
                            <w:r w:rsidR="00362E3E">
                              <w:rPr>
                                <w:rFonts w:ascii="Poppins" w:hAnsi="Poppins" w:cs="Poppins"/>
                                <w:sz w:val="20"/>
                                <w:szCs w:val="20"/>
                              </w:rPr>
                              <w:t>at the end of this document</w:t>
                            </w:r>
                            <w:r w:rsidRPr="008E2B76">
                              <w:rPr>
                                <w:rFonts w:ascii="Poppins" w:hAnsi="Poppins" w:cs="Poppins"/>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0BC69DB">
              <v:shape id="_x0000_s1031" style="position:absolute;margin-left:-33.55pt;margin-top:607.15pt;width:499.15pt;height:30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" w14:anchorId="79C8FDB4">
                <v:textbox>
                  <w:txbxContent>
                    <w:p w:rsidRPr="008E2B76" w:rsidR="00871B90" w:rsidRDefault="00871B90" w14:paraId="16BC17B8" w14:textId="42C71E6A">
                      <w:pPr>
                        <w:rPr>
                          <w:sz w:val="18"/>
                          <w:szCs w:val="18"/>
                        </w:rPr>
                      </w:pPr>
                      <w:r w:rsidRPr="008E2B76">
                        <w:rPr>
                          <w:rFonts w:ascii="Poppins" w:hAnsi="Poppins" w:cs="Poppins"/>
                          <w:sz w:val="20"/>
                          <w:szCs w:val="20"/>
                        </w:rPr>
                        <w:t xml:space="preserve">Prescribing information for </w:t>
                      </w:r>
                      <w:proofErr w:type="spellStart"/>
                      <w:r w:rsidRPr="008E2B76">
                        <w:rPr>
                          <w:rFonts w:ascii="Poppins" w:hAnsi="Poppins" w:cs="Poppins"/>
                          <w:sz w:val="20"/>
                          <w:szCs w:val="20"/>
                        </w:rPr>
                        <w:t>Tzield</w:t>
                      </w:r>
                      <w:proofErr w:type="spellEnd"/>
                      <w:r w:rsidRPr="008E2B76">
                        <w:rPr>
                          <w:rFonts w:ascii="Poppins" w:hAnsi="Poppins" w:cs="Poppins"/>
                          <w:sz w:val="20"/>
                          <w:szCs w:val="20"/>
                        </w:rPr>
                        <w:t xml:space="preserve"> be found </w:t>
                      </w:r>
                      <w:r w:rsidR="00362E3E">
                        <w:rPr>
                          <w:rFonts w:ascii="Poppins" w:hAnsi="Poppins" w:cs="Poppins"/>
                          <w:sz w:val="20"/>
                          <w:szCs w:val="20"/>
                        </w:rPr>
                        <w:t>at the end of this document</w:t>
                      </w:r>
                      <w:r w:rsidRPr="008E2B76">
                        <w:rPr>
                          <w:rFonts w:ascii="Poppins" w:hAnsi="Poppins" w:cs="Poppins"/>
                          <w:sz w:val="20"/>
                          <w:szCs w:val="20"/>
                        </w:rPr>
                        <w:t>.</w:t>
                      </w:r>
                    </w:p>
                  </w:txbxContent>
                </v:textbox>
                <w10:wrap anchorx="margin"/>
              </v:shape>
            </w:pict>
          </mc:Fallback>
        </mc:AlternateContent>
      </w:r>
    </w:p>
    <w:p w:rsidRPr="00C43185" w:rsidR="009C3E4C" w:rsidP="001B36EE" w:rsidRDefault="008E2B76" w14:paraId="546E4E1D" w14:textId="366DD5FC">
      <w:pPr>
        <w:tabs>
          <w:tab w:val="left" w:pos="2104"/>
        </w:tabs>
        <w:spacing w:line="240" w:lineRule="auto"/>
        <w:rPr>
          <w:rFonts w:ascii="Poppins" w:hAnsi="Poppins" w:cs="Poppins"/>
        </w:rPr>
      </w:pPr>
      <w:r>
        <w:rPr>
          <w:rFonts w:ascii="Poppins" w:hAnsi="Poppins" w:cs="Poppins"/>
        </w:rPr>
        <w:tab/>
      </w:r>
    </w:p>
    <w:tbl>
      <w:tblPr>
        <w:tblW w:w="9638" w:type="dxa"/>
        <w:tblInd w:w="-431" w:type="dxa"/>
        <w:shd w:val="clear" w:color="auto" w:fill="E3E5ED"/>
        <w:tblLayout w:type="fixed"/>
        <w:tblCellMar>
          <w:top w:w="227" w:type="dxa"/>
          <w:left w:w="284" w:type="dxa"/>
          <w:bottom w:w="227" w:type="dxa"/>
          <w:right w:w="284" w:type="dxa"/>
        </w:tblCellMar>
        <w:tblLook w:val="01E0" w:firstRow="1" w:lastRow="1" w:firstColumn="1" w:lastColumn="1" w:noHBand="0" w:noVBand="0"/>
      </w:tblPr>
      <w:tblGrid>
        <w:gridCol w:w="9638"/>
      </w:tblGrid>
      <w:tr w:rsidRPr="00C43185" w:rsidR="00FB3613" w:rsidTr="00C43185" w14:paraId="5D27F67D" w14:textId="77777777">
        <w:trPr>
          <w:trHeight w:val="841"/>
        </w:trPr>
        <w:tc>
          <w:tcPr>
            <w:tcW w:w="9638" w:type="dxa"/>
            <w:shd w:val="clear" w:color="auto" w:fill="E3E5ED"/>
          </w:tcPr>
          <w:p w:rsidRPr="00C43185" w:rsidR="00FB3613" w:rsidP="001B36EE" w:rsidRDefault="00FB3613" w14:paraId="194D0E9E" w14:textId="04EC82A9">
            <w:pPr>
              <w:spacing w:after="40" w:line="320" w:lineRule="exact"/>
              <w:rPr>
                <w:rFonts w:ascii="Poppins" w:hAnsi="Poppins" w:eastAsia="Times New Roman" w:cs="Poppins"/>
                <w:b/>
              </w:rPr>
            </w:pPr>
            <w:bookmarkStart w:name="_Hlk217389086" w:id="0"/>
            <w:r w:rsidRPr="00C43185">
              <w:rPr>
                <w:rFonts w:ascii="Poppins" w:hAnsi="Poppins" w:eastAsia="Times New Roman" w:cs="Poppins"/>
                <w:b/>
              </w:rPr>
              <w:t>Guidance information for using this business case resource</w:t>
            </w:r>
          </w:p>
          <w:p w:rsidRPr="00C43185" w:rsidR="00FB3613" w:rsidP="001B36EE" w:rsidRDefault="00FB3613" w14:paraId="14B1308D" w14:textId="7C9259E0">
            <w:pPr>
              <w:spacing w:after="40" w:line="320" w:lineRule="exact"/>
              <w:rPr>
                <w:rFonts w:ascii="Poppins" w:hAnsi="Poppins" w:eastAsia="Times New Roman" w:cs="Poppins"/>
                <w:bCs/>
                <w:i/>
                <w:iCs/>
                <w:sz w:val="20"/>
                <w:szCs w:val="20"/>
              </w:rPr>
            </w:pPr>
            <w:r w:rsidRPr="00C43185">
              <w:rPr>
                <w:rFonts w:ascii="Poppins" w:hAnsi="Poppins" w:eastAsia="Times New Roman" w:cs="Poppins"/>
                <w:bCs/>
                <w:i/>
                <w:iCs/>
                <w:sz w:val="20"/>
                <w:szCs w:val="20"/>
              </w:rPr>
              <w:t>This resource provides suggested guidance for the development of a business case for</w:t>
            </w:r>
            <w:r w:rsidRPr="00C43185" w:rsidR="00F3262E">
              <w:rPr>
                <w:rFonts w:ascii="Poppins" w:hAnsi="Poppins" w:eastAsia="Times New Roman" w:cs="Poppins"/>
                <w:bCs/>
                <w:i/>
                <w:iCs/>
                <w:sz w:val="20"/>
                <w:szCs w:val="20"/>
              </w:rPr>
              <w:t xml:space="preserve"> </w:t>
            </w:r>
            <w:r w:rsidRPr="00C43185" w:rsidR="00D02C0B">
              <w:rPr>
                <w:rFonts w:ascii="Poppins" w:hAnsi="Poppins" w:eastAsia="Times New Roman" w:cs="Poppins"/>
                <w:bCs/>
                <w:i/>
                <w:iCs/>
                <w:sz w:val="20"/>
                <w:szCs w:val="20"/>
              </w:rPr>
              <w:t xml:space="preserve">a service to deliver </w:t>
            </w:r>
            <w:r w:rsidRPr="00C43185" w:rsidR="00007BC7">
              <w:rPr>
                <w:rFonts w:ascii="Poppins" w:hAnsi="Poppins" w:eastAsia="Times New Roman" w:cs="Poppins"/>
                <w:bCs/>
                <w:i/>
                <w:iCs/>
                <w:sz w:val="20"/>
                <w:szCs w:val="20"/>
              </w:rPr>
              <w:t>teplizumab</w:t>
            </w:r>
            <w:r w:rsidRPr="00C43185" w:rsidR="00B20FBA">
              <w:rPr>
                <w:rFonts w:ascii="Poppins" w:hAnsi="Poppins" w:eastAsia="Times New Roman" w:cs="Poppins"/>
                <w:bCs/>
                <w:i/>
                <w:iCs/>
                <w:sz w:val="20"/>
                <w:szCs w:val="20"/>
              </w:rPr>
              <w:t xml:space="preserve"> </w:t>
            </w:r>
            <w:r w:rsidRPr="00C43185" w:rsidR="00F76A32">
              <w:rPr>
                <w:rFonts w:ascii="Poppins" w:hAnsi="Poppins" w:eastAsia="Times New Roman" w:cs="Poppins"/>
                <w:bCs/>
                <w:i/>
                <w:iCs/>
                <w:sz w:val="20"/>
                <w:szCs w:val="20"/>
              </w:rPr>
              <w:t>infusions.</w:t>
            </w:r>
            <w:r w:rsidRPr="00C43185">
              <w:rPr>
                <w:rFonts w:ascii="Poppins" w:hAnsi="Poppins" w:eastAsia="Times New Roman" w:cs="Poppins"/>
                <w:bCs/>
                <w:i/>
                <w:iCs/>
                <w:sz w:val="20"/>
                <w:szCs w:val="20"/>
              </w:rPr>
              <w:t xml:space="preserve"> </w:t>
            </w:r>
          </w:p>
          <w:p w:rsidRPr="00C43185" w:rsidR="00FB3613" w:rsidP="001B36EE" w:rsidRDefault="00FB3613" w14:paraId="5F860A03" w14:textId="6F15EBDC">
            <w:pPr>
              <w:spacing w:after="40" w:line="320" w:lineRule="exact"/>
              <w:rPr>
                <w:rFonts w:ascii="Poppins" w:hAnsi="Poppins" w:eastAsia="Times New Roman" w:cs="Poppins"/>
                <w:bCs/>
                <w:i/>
                <w:iCs/>
                <w:sz w:val="20"/>
                <w:szCs w:val="20"/>
              </w:rPr>
            </w:pPr>
            <w:r w:rsidRPr="00C43185">
              <w:rPr>
                <w:rFonts w:ascii="Poppins" w:hAnsi="Poppins" w:eastAsia="Times New Roman" w:cs="Poppins"/>
                <w:bCs/>
                <w:i/>
                <w:iCs/>
                <w:sz w:val="20"/>
                <w:szCs w:val="20"/>
              </w:rPr>
              <w:t xml:space="preserve">It is intended to contain useful </w:t>
            </w:r>
            <w:r w:rsidR="009D6FD9">
              <w:rPr>
                <w:rFonts w:ascii="Poppins" w:hAnsi="Poppins" w:eastAsia="Times New Roman" w:cs="Poppins"/>
                <w:bCs/>
                <w:i/>
                <w:iCs/>
                <w:sz w:val="20"/>
                <w:szCs w:val="20"/>
              </w:rPr>
              <w:t>guidance</w:t>
            </w:r>
            <w:r w:rsidRPr="00C43185">
              <w:rPr>
                <w:rFonts w:ascii="Poppins" w:hAnsi="Poppins" w:eastAsia="Times New Roman" w:cs="Poppins"/>
                <w:bCs/>
                <w:i/>
                <w:iCs/>
                <w:sz w:val="20"/>
                <w:szCs w:val="20"/>
              </w:rPr>
              <w:t xml:space="preserve"> and prompts for consideration when working with your </w:t>
            </w:r>
            <w:r w:rsidR="00A614E8">
              <w:rPr>
                <w:rFonts w:ascii="Poppins" w:hAnsi="Poppins" w:eastAsia="Times New Roman" w:cs="Poppins"/>
                <w:bCs/>
                <w:i/>
                <w:iCs/>
                <w:sz w:val="20"/>
                <w:szCs w:val="20"/>
              </w:rPr>
              <w:t>implementation</w:t>
            </w:r>
            <w:r w:rsidRPr="00C43185">
              <w:rPr>
                <w:rFonts w:ascii="Poppins" w:hAnsi="Poppins" w:eastAsia="Times New Roman" w:cs="Poppins"/>
                <w:bCs/>
                <w:i/>
                <w:iCs/>
                <w:sz w:val="20"/>
                <w:szCs w:val="20"/>
              </w:rPr>
              <w:t xml:space="preserve"> to develop your application. The </w:t>
            </w:r>
            <w:r w:rsidR="00A614E8">
              <w:rPr>
                <w:rFonts w:ascii="Poppins" w:hAnsi="Poppins" w:eastAsia="Times New Roman" w:cs="Poppins"/>
                <w:bCs/>
                <w:i/>
                <w:iCs/>
                <w:sz w:val="20"/>
                <w:szCs w:val="20"/>
              </w:rPr>
              <w:t>implementation team</w:t>
            </w:r>
            <w:r w:rsidRPr="00C43185">
              <w:rPr>
                <w:rFonts w:ascii="Poppins" w:hAnsi="Poppins" w:eastAsia="Times New Roman" w:cs="Poppins"/>
                <w:bCs/>
                <w:i/>
                <w:iCs/>
                <w:sz w:val="20"/>
                <w:szCs w:val="20"/>
              </w:rPr>
              <w:t xml:space="preserve"> should consist of all the stakeholders within the Trust who will be responsible for</w:t>
            </w:r>
            <w:r w:rsidR="009D6FD9">
              <w:rPr>
                <w:rFonts w:ascii="Poppins" w:hAnsi="Poppins" w:eastAsia="Times New Roman" w:cs="Poppins"/>
                <w:bCs/>
                <w:i/>
                <w:iCs/>
                <w:sz w:val="20"/>
                <w:szCs w:val="20"/>
              </w:rPr>
              <w:t xml:space="preserve"> commissioning,</w:t>
            </w:r>
            <w:r w:rsidRPr="00C43185">
              <w:rPr>
                <w:rFonts w:ascii="Poppins" w:hAnsi="Poppins" w:eastAsia="Times New Roman" w:cs="Poppins"/>
                <w:bCs/>
                <w:i/>
                <w:iCs/>
                <w:sz w:val="20"/>
                <w:szCs w:val="20"/>
              </w:rPr>
              <w:t xml:space="preserve"> delivering and managing the service. </w:t>
            </w:r>
          </w:p>
          <w:p w:rsidRPr="00C43185" w:rsidR="00FB3613" w:rsidP="001B36EE" w:rsidRDefault="00FB3613" w14:paraId="5523642A" w14:textId="23173135">
            <w:pPr>
              <w:spacing w:after="40" w:line="320" w:lineRule="exact"/>
              <w:rPr>
                <w:rFonts w:ascii="Poppins" w:hAnsi="Poppins" w:eastAsia="Times New Roman" w:cs="Poppins"/>
                <w:bCs/>
                <w:i/>
                <w:iCs/>
                <w:sz w:val="20"/>
                <w:szCs w:val="20"/>
              </w:rPr>
            </w:pPr>
            <w:r w:rsidRPr="00C43185">
              <w:rPr>
                <w:rFonts w:ascii="Poppins" w:hAnsi="Poppins" w:eastAsia="Times New Roman" w:cs="Poppins"/>
                <w:bCs/>
                <w:i/>
                <w:iCs/>
                <w:sz w:val="20"/>
                <w:szCs w:val="20"/>
              </w:rPr>
              <w:t xml:space="preserve">Guidance notes are provided in a grey box at the beginning of each section and provide a summary of what information can be included in the business case. </w:t>
            </w:r>
          </w:p>
          <w:p w:rsidRPr="00C43185" w:rsidR="00FB3613" w:rsidP="001B36EE" w:rsidRDefault="00FB3613" w14:paraId="6059AC25" w14:textId="4BC79120">
            <w:pPr>
              <w:spacing w:after="40" w:line="320" w:lineRule="exact"/>
              <w:rPr>
                <w:rFonts w:ascii="Poppins" w:hAnsi="Poppins" w:eastAsia="Times New Roman" w:cs="Poppins"/>
                <w:bCs/>
                <w:i/>
                <w:iCs/>
                <w:sz w:val="20"/>
                <w:szCs w:val="20"/>
              </w:rPr>
            </w:pPr>
            <w:r w:rsidRPr="00C43185">
              <w:rPr>
                <w:rFonts w:ascii="Poppins" w:hAnsi="Poppins" w:eastAsia="Times New Roman" w:cs="Poppins"/>
                <w:bCs/>
                <w:i/>
                <w:iCs/>
                <w:sz w:val="20"/>
                <w:szCs w:val="20"/>
              </w:rPr>
              <w:t xml:space="preserve">All text in light grey </w:t>
            </w:r>
            <w:r w:rsidRPr="00C43185">
              <w:rPr>
                <w:rFonts w:ascii="Poppins" w:hAnsi="Poppins" w:eastAsia="Times New Roman" w:cs="Poppins"/>
                <w:bCs/>
                <w:i/>
                <w:iCs/>
                <w:color w:val="808080" w:themeColor="background1" w:themeShade="80"/>
                <w:sz w:val="20"/>
                <w:szCs w:val="20"/>
              </w:rPr>
              <w:t xml:space="preserve">&lt;example&gt; </w:t>
            </w:r>
            <w:r w:rsidRPr="00C43185">
              <w:rPr>
                <w:rFonts w:ascii="Poppins" w:hAnsi="Poppins" w:eastAsia="Times New Roman" w:cs="Poppins"/>
                <w:bCs/>
                <w:i/>
                <w:iCs/>
                <w:sz w:val="20"/>
                <w:szCs w:val="20"/>
              </w:rPr>
              <w:t>adds additional content guidance or content suggestion. It should be tailored to your local needs within the final document.</w:t>
            </w:r>
          </w:p>
          <w:p w:rsidRPr="00383DB2" w:rsidR="00680D64" w:rsidP="001B36EE" w:rsidRDefault="005309BE" w14:paraId="43B4B313" w14:textId="08F4D137">
            <w:pPr>
              <w:spacing w:after="40" w:line="320" w:lineRule="exact"/>
              <w:rPr>
                <w:rFonts w:ascii="Poppins" w:hAnsi="Poppins" w:eastAsia="Times New Roman" w:cs="Poppins"/>
                <w:bCs/>
                <w:i/>
                <w:iCs/>
                <w:spacing w:val="-4"/>
                <w:sz w:val="20"/>
                <w:szCs w:val="20"/>
              </w:rPr>
            </w:pPr>
            <w:r w:rsidRPr="00383DB2">
              <w:rPr>
                <w:rFonts w:ascii="Poppins" w:hAnsi="Poppins" w:eastAsia="Times New Roman" w:cs="Poppins"/>
                <w:bCs/>
                <w:i/>
                <w:iCs/>
                <w:spacing w:val="-4"/>
                <w:sz w:val="20"/>
                <w:szCs w:val="20"/>
              </w:rPr>
              <w:t xml:space="preserve">The </w:t>
            </w:r>
            <w:r w:rsidRPr="00383DB2" w:rsidR="00752828">
              <w:rPr>
                <w:rFonts w:ascii="Poppins" w:hAnsi="Poppins" w:eastAsia="Times New Roman" w:cs="Poppins"/>
                <w:bCs/>
                <w:i/>
                <w:iCs/>
                <w:spacing w:val="-4"/>
                <w:sz w:val="20"/>
                <w:szCs w:val="20"/>
              </w:rPr>
              <w:t xml:space="preserve">document is </w:t>
            </w:r>
            <w:r w:rsidRPr="00383DB2" w:rsidR="00680D64">
              <w:rPr>
                <w:rFonts w:ascii="Poppins" w:hAnsi="Poppins" w:eastAsia="Times New Roman" w:cs="Poppins"/>
                <w:bCs/>
                <w:i/>
                <w:iCs/>
                <w:spacing w:val="-4"/>
                <w:sz w:val="20"/>
                <w:szCs w:val="20"/>
              </w:rPr>
              <w:t>structure</w:t>
            </w:r>
            <w:r w:rsidRPr="00383DB2" w:rsidR="00620DC9">
              <w:rPr>
                <w:rFonts w:ascii="Poppins" w:hAnsi="Poppins" w:eastAsia="Times New Roman" w:cs="Poppins"/>
                <w:bCs/>
                <w:i/>
                <w:iCs/>
                <w:spacing w:val="-4"/>
                <w:sz w:val="20"/>
                <w:szCs w:val="20"/>
              </w:rPr>
              <w:t>d</w:t>
            </w:r>
            <w:r w:rsidRPr="00383DB2" w:rsidR="00680D64">
              <w:rPr>
                <w:rFonts w:ascii="Poppins" w:hAnsi="Poppins" w:eastAsia="Times New Roman" w:cs="Poppins"/>
                <w:bCs/>
                <w:i/>
                <w:iCs/>
                <w:spacing w:val="-4"/>
                <w:sz w:val="20"/>
                <w:szCs w:val="20"/>
              </w:rPr>
              <w:t xml:space="preserve"> to</w:t>
            </w:r>
            <w:r w:rsidRPr="00383DB2" w:rsidR="00620DC9">
              <w:rPr>
                <w:rFonts w:ascii="Poppins" w:hAnsi="Poppins" w:eastAsia="Times New Roman" w:cs="Poppins"/>
                <w:bCs/>
                <w:i/>
                <w:iCs/>
                <w:spacing w:val="-4"/>
                <w:sz w:val="20"/>
                <w:szCs w:val="20"/>
              </w:rPr>
              <w:t xml:space="preserve"> help</w:t>
            </w:r>
            <w:r w:rsidRPr="00383DB2" w:rsidR="00680D64">
              <w:rPr>
                <w:rFonts w:ascii="Poppins" w:hAnsi="Poppins" w:eastAsia="Times New Roman" w:cs="Poppins"/>
                <w:bCs/>
                <w:i/>
                <w:iCs/>
                <w:spacing w:val="-4"/>
                <w:sz w:val="20"/>
                <w:szCs w:val="20"/>
              </w:rPr>
              <w:t xml:space="preserve"> assemble a robust case that aligns with NHS standards, boosts clinical efficiency, and underpins financial and operational feasibility.</w:t>
            </w:r>
            <w:r w:rsidRPr="00383DB2" w:rsidR="00334004">
              <w:rPr>
                <w:rFonts w:ascii="Poppins" w:hAnsi="Poppins" w:eastAsia="Times New Roman" w:cs="Poppins"/>
                <w:bCs/>
                <w:i/>
                <w:iCs/>
                <w:spacing w:val="-4"/>
                <w:sz w:val="20"/>
                <w:szCs w:val="20"/>
              </w:rPr>
              <w:t xml:space="preserve"> </w:t>
            </w:r>
            <w:r w:rsidRPr="00383DB2" w:rsidR="009E2B47">
              <w:rPr>
                <w:rFonts w:ascii="Poppins" w:hAnsi="Poppins" w:eastAsia="Times New Roman" w:cs="Poppins"/>
                <w:bCs/>
                <w:i/>
                <w:iCs/>
                <w:spacing w:val="-4"/>
                <w:sz w:val="20"/>
                <w:szCs w:val="20"/>
              </w:rPr>
              <w:t>It centres on</w:t>
            </w:r>
            <w:r w:rsidRPr="00383DB2" w:rsidR="00B22D99">
              <w:rPr>
                <w:rFonts w:ascii="Poppins" w:hAnsi="Poppins" w:eastAsia="Times New Roman" w:cs="Poppins"/>
                <w:bCs/>
                <w:i/>
                <w:iCs/>
                <w:spacing w:val="-4"/>
                <w:sz w:val="20"/>
                <w:szCs w:val="20"/>
              </w:rPr>
              <w:t xml:space="preserve"> the strategic, economic, financial and management cases for establishing a service</w:t>
            </w:r>
            <w:r w:rsidRPr="00383DB2" w:rsidR="00383DB2">
              <w:rPr>
                <w:rFonts w:ascii="Poppins" w:hAnsi="Poppins" w:eastAsia="Times New Roman" w:cs="Poppins"/>
                <w:bCs/>
                <w:i/>
                <w:iCs/>
                <w:spacing w:val="-4"/>
                <w:sz w:val="20"/>
                <w:szCs w:val="20"/>
              </w:rPr>
              <w:t>.</w:t>
            </w:r>
          </w:p>
          <w:p w:rsidRPr="00C43185" w:rsidR="00FB3613" w:rsidP="001B36EE" w:rsidRDefault="00FB3613" w14:paraId="6B2DFCDA" w14:textId="6285FE9A">
            <w:pPr>
              <w:spacing w:after="40" w:line="320" w:lineRule="exact"/>
              <w:rPr>
                <w:rFonts w:ascii="Poppins" w:hAnsi="Poppins" w:eastAsia="Times New Roman" w:cs="Poppins"/>
                <w:bCs/>
                <w:i/>
                <w:iCs/>
                <w:sz w:val="20"/>
                <w:szCs w:val="20"/>
              </w:rPr>
            </w:pPr>
            <w:r w:rsidRPr="00C43185">
              <w:rPr>
                <w:rFonts w:ascii="Poppins" w:hAnsi="Poppins" w:eastAsia="Times New Roman" w:cs="Poppins"/>
                <w:bCs/>
                <w:i/>
                <w:iCs/>
                <w:sz w:val="20"/>
                <w:szCs w:val="20"/>
              </w:rPr>
              <w:t xml:space="preserve">Some general </w:t>
            </w:r>
            <w:r w:rsidR="009D6FD9">
              <w:rPr>
                <w:rFonts w:ascii="Poppins" w:hAnsi="Poppins" w:eastAsia="Times New Roman" w:cs="Poppins"/>
                <w:bCs/>
                <w:i/>
                <w:iCs/>
                <w:sz w:val="20"/>
                <w:szCs w:val="20"/>
              </w:rPr>
              <w:t>sugges</w:t>
            </w:r>
            <w:r w:rsidRPr="00C43185">
              <w:rPr>
                <w:rFonts w:ascii="Poppins" w:hAnsi="Poppins" w:eastAsia="Times New Roman" w:cs="Poppins"/>
                <w:bCs/>
                <w:i/>
                <w:iCs/>
                <w:sz w:val="20"/>
                <w:szCs w:val="20"/>
              </w:rPr>
              <w:t xml:space="preserve">tions for writing the business case </w:t>
            </w:r>
            <w:r w:rsidRPr="00C43185" w:rsidR="00FE1692">
              <w:rPr>
                <w:rFonts w:ascii="Poppins" w:hAnsi="Poppins" w:eastAsia="Times New Roman" w:cs="Poppins"/>
                <w:bCs/>
                <w:i/>
                <w:iCs/>
                <w:sz w:val="20"/>
                <w:szCs w:val="20"/>
              </w:rPr>
              <w:t>are as follows</w:t>
            </w:r>
            <w:r w:rsidRPr="00C43185">
              <w:rPr>
                <w:rFonts w:ascii="Poppins" w:hAnsi="Poppins" w:eastAsia="Times New Roman" w:cs="Poppins"/>
                <w:bCs/>
                <w:i/>
                <w:iCs/>
                <w:sz w:val="20"/>
                <w:szCs w:val="20"/>
              </w:rPr>
              <w:t xml:space="preserve">: </w:t>
            </w:r>
          </w:p>
          <w:p w:rsidRPr="00C43185" w:rsidR="00FB3613" w:rsidP="001B36EE" w:rsidRDefault="00FB3613" w14:paraId="5E4A293C" w14:textId="77777777">
            <w:pPr>
              <w:pStyle w:val="ListParagraph"/>
              <w:numPr>
                <w:ilvl w:val="0"/>
                <w:numId w:val="7"/>
              </w:numPr>
              <w:spacing w:after="60" w:line="320" w:lineRule="exact"/>
              <w:ind w:left="417" w:hanging="357"/>
              <w:contextualSpacing w:val="0"/>
              <w:rPr>
                <w:rFonts w:ascii="Poppins" w:hAnsi="Poppins" w:eastAsia="Times New Roman" w:cs="Poppins"/>
                <w:bCs/>
                <w:i/>
                <w:iCs/>
                <w:sz w:val="20"/>
                <w:szCs w:val="20"/>
              </w:rPr>
            </w:pPr>
            <w:r w:rsidRPr="00C43185">
              <w:rPr>
                <w:rFonts w:ascii="Poppins" w:hAnsi="Poppins" w:eastAsia="Times New Roman" w:cs="Poppins"/>
                <w:bCs/>
                <w:i/>
                <w:iCs/>
                <w:sz w:val="20"/>
                <w:szCs w:val="20"/>
              </w:rPr>
              <w:t>It is important to convey:</w:t>
            </w:r>
          </w:p>
          <w:p w:rsidRPr="00C43185" w:rsidR="00FB3613" w:rsidP="001B36EE" w:rsidRDefault="00FB3613" w14:paraId="5E1CCE51" w14:textId="2C0E07E6">
            <w:pPr>
              <w:pStyle w:val="ListParagraph"/>
              <w:numPr>
                <w:ilvl w:val="1"/>
                <w:numId w:val="7"/>
              </w:numPr>
              <w:spacing w:after="60" w:line="320" w:lineRule="exact"/>
              <w:ind w:left="723" w:hanging="357"/>
              <w:contextualSpacing w:val="0"/>
              <w:rPr>
                <w:rFonts w:ascii="Poppins" w:hAnsi="Poppins" w:eastAsia="Times New Roman" w:cs="Poppins"/>
                <w:bCs/>
                <w:i/>
                <w:iCs/>
                <w:sz w:val="19"/>
                <w:szCs w:val="19"/>
              </w:rPr>
            </w:pPr>
            <w:r w:rsidRPr="009D6FD9">
              <w:rPr>
                <w:rFonts w:ascii="Poppins" w:hAnsi="Poppins" w:eastAsia="Times New Roman" w:cs="Poppins"/>
                <w:bCs/>
                <w:i/>
                <w:iCs/>
                <w:sz w:val="19"/>
                <w:szCs w:val="19"/>
              </w:rPr>
              <w:t xml:space="preserve">How </w:t>
            </w:r>
            <w:r w:rsidRPr="00C43185" w:rsidR="00307EDC">
              <w:rPr>
                <w:rFonts w:ascii="Poppins" w:hAnsi="Poppins" w:eastAsia="Times New Roman" w:cs="Poppins"/>
                <w:bCs/>
                <w:i/>
                <w:iCs/>
                <w:sz w:val="19"/>
                <w:szCs w:val="19"/>
              </w:rPr>
              <w:t xml:space="preserve">the service will benefit </w:t>
            </w:r>
            <w:r w:rsidRPr="00C43185" w:rsidR="000677F6">
              <w:rPr>
                <w:rFonts w:ascii="Poppins" w:hAnsi="Poppins" w:eastAsia="Times New Roman" w:cs="Poppins"/>
                <w:bCs/>
                <w:i/>
                <w:iCs/>
                <w:sz w:val="19"/>
                <w:szCs w:val="19"/>
              </w:rPr>
              <w:t>p</w:t>
            </w:r>
            <w:r w:rsidR="00481952">
              <w:rPr>
                <w:rFonts w:ascii="Poppins" w:hAnsi="Poppins" w:eastAsia="Times New Roman" w:cs="Poppins"/>
                <w:bCs/>
                <w:i/>
                <w:iCs/>
                <w:sz w:val="19"/>
                <w:szCs w:val="19"/>
              </w:rPr>
              <w:t>eople</w:t>
            </w:r>
            <w:r w:rsidRPr="00C43185" w:rsidR="000677F6">
              <w:rPr>
                <w:rFonts w:ascii="Poppins" w:hAnsi="Poppins" w:eastAsia="Times New Roman" w:cs="Poppins"/>
                <w:bCs/>
                <w:i/>
                <w:iCs/>
                <w:sz w:val="19"/>
                <w:szCs w:val="19"/>
              </w:rPr>
              <w:t xml:space="preserve"> and the NHS</w:t>
            </w:r>
            <w:r w:rsidRPr="00C43185">
              <w:rPr>
                <w:rFonts w:ascii="Poppins" w:hAnsi="Poppins" w:eastAsia="Times New Roman" w:cs="Poppins"/>
                <w:bCs/>
                <w:i/>
                <w:iCs/>
                <w:sz w:val="19"/>
                <w:szCs w:val="19"/>
              </w:rPr>
              <w:t xml:space="preserve"> in your </w:t>
            </w:r>
            <w:r w:rsidRPr="00C43185" w:rsidR="00834751">
              <w:rPr>
                <w:rFonts w:ascii="Poppins" w:hAnsi="Poppins" w:eastAsia="Times New Roman" w:cs="Poppins"/>
                <w:bCs/>
                <w:i/>
                <w:iCs/>
                <w:sz w:val="19"/>
                <w:szCs w:val="19"/>
              </w:rPr>
              <w:t>locality</w:t>
            </w:r>
            <w:r w:rsidRPr="00C43185">
              <w:rPr>
                <w:rFonts w:ascii="Poppins" w:hAnsi="Poppins" w:eastAsia="Times New Roman" w:cs="Poppins"/>
                <w:bCs/>
                <w:i/>
                <w:iCs/>
                <w:sz w:val="19"/>
                <w:szCs w:val="19"/>
              </w:rPr>
              <w:t xml:space="preserve"> </w:t>
            </w:r>
          </w:p>
          <w:p w:rsidRPr="00383DB2" w:rsidR="00FB3613" w:rsidP="001B36EE" w:rsidRDefault="00FB3613" w14:paraId="1223EC5E" w14:textId="0DC5239B">
            <w:pPr>
              <w:pStyle w:val="ListParagraph"/>
              <w:numPr>
                <w:ilvl w:val="1"/>
                <w:numId w:val="7"/>
              </w:numPr>
              <w:spacing w:after="60" w:line="320" w:lineRule="exact"/>
              <w:ind w:left="723" w:hanging="357"/>
              <w:contextualSpacing w:val="0"/>
              <w:rPr>
                <w:rFonts w:ascii="Poppins" w:hAnsi="Poppins" w:eastAsia="Times New Roman" w:cs="Poppins"/>
                <w:bCs/>
                <w:i/>
                <w:iCs/>
                <w:spacing w:val="-4"/>
                <w:sz w:val="19"/>
                <w:szCs w:val="19"/>
              </w:rPr>
            </w:pPr>
            <w:r w:rsidRPr="00383DB2">
              <w:rPr>
                <w:rFonts w:ascii="Poppins" w:hAnsi="Poppins" w:eastAsia="Times New Roman" w:cs="Poppins"/>
                <w:bCs/>
                <w:i/>
                <w:iCs/>
                <w:spacing w:val="-4"/>
                <w:sz w:val="19"/>
                <w:szCs w:val="19"/>
              </w:rPr>
              <w:t xml:space="preserve">How your proposed service </w:t>
            </w:r>
            <w:r w:rsidRPr="00383DB2" w:rsidR="00BE1C20">
              <w:rPr>
                <w:rFonts w:ascii="Poppins" w:hAnsi="Poppins" w:eastAsia="Times New Roman" w:cs="Poppins"/>
                <w:bCs/>
                <w:i/>
                <w:iCs/>
                <w:spacing w:val="-4"/>
                <w:sz w:val="19"/>
                <w:szCs w:val="19"/>
              </w:rPr>
              <w:t>will i</w:t>
            </w:r>
            <w:r w:rsidRPr="00383DB2" w:rsidR="002D70E3">
              <w:rPr>
                <w:rFonts w:ascii="Poppins" w:hAnsi="Poppins" w:eastAsia="Times New Roman" w:cs="Poppins"/>
                <w:bCs/>
                <w:i/>
                <w:iCs/>
                <w:spacing w:val="-4"/>
                <w:sz w:val="19"/>
                <w:szCs w:val="19"/>
              </w:rPr>
              <w:t>mpact on other services</w:t>
            </w:r>
            <w:r w:rsidRPr="00383DB2" w:rsidR="00B3374B">
              <w:rPr>
                <w:rFonts w:ascii="Poppins" w:hAnsi="Poppins" w:eastAsia="Times New Roman" w:cs="Poppins"/>
                <w:bCs/>
                <w:i/>
                <w:iCs/>
                <w:spacing w:val="-4"/>
                <w:sz w:val="19"/>
                <w:szCs w:val="19"/>
              </w:rPr>
              <w:t xml:space="preserve"> and</w:t>
            </w:r>
            <w:r w:rsidRPr="00383DB2" w:rsidR="00BE1C20">
              <w:rPr>
                <w:rFonts w:ascii="Poppins" w:hAnsi="Poppins" w:eastAsia="Times New Roman" w:cs="Poppins"/>
                <w:bCs/>
                <w:i/>
                <w:iCs/>
                <w:spacing w:val="-4"/>
                <w:sz w:val="19"/>
                <w:szCs w:val="19"/>
              </w:rPr>
              <w:t xml:space="preserve"> current diabetes pathways</w:t>
            </w:r>
          </w:p>
          <w:p w:rsidRPr="00C43185" w:rsidR="00FB3613" w:rsidP="001B36EE" w:rsidRDefault="00FB3613" w14:paraId="072F9E0E" w14:textId="3E3A9DDA">
            <w:pPr>
              <w:pStyle w:val="ListParagraph"/>
              <w:numPr>
                <w:ilvl w:val="1"/>
                <w:numId w:val="7"/>
              </w:numPr>
              <w:spacing w:after="60" w:line="320" w:lineRule="exact"/>
              <w:ind w:left="723" w:hanging="357"/>
              <w:contextualSpacing w:val="0"/>
              <w:rPr>
                <w:rFonts w:ascii="Poppins" w:hAnsi="Poppins" w:eastAsia="Times New Roman" w:cs="Poppins"/>
                <w:bCs/>
                <w:i/>
                <w:iCs/>
                <w:sz w:val="19"/>
                <w:szCs w:val="19"/>
              </w:rPr>
            </w:pPr>
            <w:r w:rsidRPr="009D6FD9">
              <w:rPr>
                <w:rFonts w:ascii="Poppins" w:hAnsi="Poppins" w:eastAsia="Times New Roman" w:cs="Poppins"/>
                <w:bCs/>
                <w:i/>
                <w:iCs/>
                <w:sz w:val="19"/>
                <w:szCs w:val="19"/>
              </w:rPr>
              <w:t>How</w:t>
            </w:r>
            <w:r w:rsidRPr="00C43185">
              <w:rPr>
                <w:rFonts w:ascii="Poppins" w:hAnsi="Poppins" w:eastAsia="Times New Roman" w:cs="Poppins"/>
                <w:b/>
                <w:i/>
                <w:iCs/>
                <w:sz w:val="19"/>
                <w:szCs w:val="19"/>
              </w:rPr>
              <w:t xml:space="preserve"> </w:t>
            </w:r>
            <w:r w:rsidRPr="00C43185">
              <w:rPr>
                <w:rFonts w:ascii="Poppins" w:hAnsi="Poppins" w:eastAsia="Times New Roman" w:cs="Poppins"/>
                <w:bCs/>
                <w:i/>
                <w:iCs/>
                <w:sz w:val="19"/>
                <w:szCs w:val="19"/>
              </w:rPr>
              <w:t>you</w:t>
            </w:r>
            <w:r w:rsidRPr="00C43185">
              <w:rPr>
                <w:rFonts w:ascii="Poppins" w:hAnsi="Poppins" w:eastAsia="Times New Roman" w:cs="Poppins"/>
                <w:b/>
                <w:i/>
                <w:iCs/>
                <w:sz w:val="19"/>
                <w:szCs w:val="19"/>
              </w:rPr>
              <w:t xml:space="preserve"> </w:t>
            </w:r>
            <w:r w:rsidRPr="00C43185">
              <w:rPr>
                <w:rFonts w:ascii="Poppins" w:hAnsi="Poppins" w:eastAsia="Times New Roman" w:cs="Poppins"/>
                <w:bCs/>
                <w:i/>
                <w:iCs/>
                <w:sz w:val="19"/>
                <w:szCs w:val="19"/>
              </w:rPr>
              <w:t xml:space="preserve">intend to meet </w:t>
            </w:r>
            <w:r w:rsidRPr="00C43185" w:rsidR="001A5E5A">
              <w:rPr>
                <w:rFonts w:ascii="Poppins" w:hAnsi="Poppins" w:eastAsia="Times New Roman" w:cs="Poppins"/>
                <w:bCs/>
                <w:i/>
                <w:iCs/>
                <w:sz w:val="19"/>
                <w:szCs w:val="19"/>
              </w:rPr>
              <w:t>governance requirements</w:t>
            </w:r>
            <w:r w:rsidRPr="00C43185" w:rsidR="00B3374B">
              <w:rPr>
                <w:rFonts w:ascii="Poppins" w:hAnsi="Poppins" w:eastAsia="Times New Roman" w:cs="Poppins"/>
                <w:bCs/>
                <w:i/>
                <w:iCs/>
                <w:sz w:val="19"/>
                <w:szCs w:val="19"/>
              </w:rPr>
              <w:t xml:space="preserve"> and demonstrate outcomes</w:t>
            </w:r>
            <w:r w:rsidRPr="00C43185" w:rsidR="00D31040">
              <w:rPr>
                <w:rFonts w:ascii="Poppins" w:hAnsi="Poppins" w:eastAsia="Times New Roman" w:cs="Poppins"/>
                <w:bCs/>
                <w:i/>
                <w:iCs/>
                <w:sz w:val="19"/>
                <w:szCs w:val="19"/>
              </w:rPr>
              <w:t xml:space="preserve"> from having the service in place</w:t>
            </w:r>
          </w:p>
          <w:p w:rsidRPr="00C43185" w:rsidR="00A63F23" w:rsidP="001B36EE" w:rsidRDefault="00FB3613" w14:paraId="447AFF55" w14:textId="69C683EB">
            <w:pPr>
              <w:pStyle w:val="ListParagraph"/>
              <w:numPr>
                <w:ilvl w:val="0"/>
                <w:numId w:val="7"/>
              </w:numPr>
              <w:spacing w:after="60" w:line="320" w:lineRule="exact"/>
              <w:ind w:left="360" w:hanging="357"/>
              <w:contextualSpacing w:val="0"/>
              <w:rPr>
                <w:rFonts w:ascii="Poppins" w:hAnsi="Poppins" w:eastAsia="Times New Roman" w:cs="Poppins"/>
                <w:bCs/>
                <w:i/>
                <w:iCs/>
                <w:sz w:val="20"/>
                <w:szCs w:val="20"/>
              </w:rPr>
            </w:pPr>
            <w:r w:rsidRPr="00C43185">
              <w:rPr>
                <w:rFonts w:ascii="Poppins" w:hAnsi="Poppins" w:eastAsia="Times New Roman" w:cs="Poppins"/>
                <w:bCs/>
                <w:i/>
                <w:iCs/>
                <w:sz w:val="20"/>
                <w:szCs w:val="20"/>
              </w:rPr>
              <w:t xml:space="preserve">Include evidence that convinces the reader </w:t>
            </w:r>
            <w:r w:rsidRPr="00C43185" w:rsidR="00A63F23">
              <w:rPr>
                <w:rFonts w:ascii="Poppins" w:hAnsi="Poppins" w:eastAsia="Times New Roman" w:cs="Poppins"/>
                <w:bCs/>
                <w:i/>
                <w:iCs/>
                <w:sz w:val="20"/>
                <w:szCs w:val="20"/>
              </w:rPr>
              <w:t xml:space="preserve">of the </w:t>
            </w:r>
            <w:r w:rsidRPr="00C43185">
              <w:rPr>
                <w:rFonts w:ascii="Poppins" w:hAnsi="Poppins" w:eastAsia="Times New Roman" w:cs="Poppins"/>
                <w:bCs/>
                <w:i/>
                <w:iCs/>
                <w:sz w:val="20"/>
                <w:szCs w:val="20"/>
              </w:rPr>
              <w:t>vision and rationale for the service</w:t>
            </w:r>
            <w:r w:rsidRPr="00C43185" w:rsidR="00D31040">
              <w:rPr>
                <w:rFonts w:ascii="Poppins" w:hAnsi="Poppins" w:eastAsia="Times New Roman" w:cs="Poppins"/>
                <w:bCs/>
                <w:i/>
                <w:iCs/>
                <w:sz w:val="20"/>
                <w:szCs w:val="20"/>
              </w:rPr>
              <w:t>,</w:t>
            </w:r>
            <w:r w:rsidRPr="00C43185" w:rsidR="00A63F23">
              <w:rPr>
                <w:rFonts w:ascii="Poppins" w:hAnsi="Poppins" w:eastAsia="Times New Roman" w:cs="Poppins"/>
                <w:bCs/>
                <w:i/>
                <w:iCs/>
                <w:sz w:val="20"/>
                <w:szCs w:val="20"/>
              </w:rPr>
              <w:t xml:space="preserve"> aligned to local and national key priorities</w:t>
            </w:r>
          </w:p>
          <w:p w:rsidRPr="00C43185" w:rsidR="00FB3613" w:rsidP="001B36EE" w:rsidRDefault="00FB3613" w14:paraId="4FD66FDB" w14:textId="2C0DE58A">
            <w:pPr>
              <w:pStyle w:val="ListParagraph"/>
              <w:numPr>
                <w:ilvl w:val="0"/>
                <w:numId w:val="7"/>
              </w:numPr>
              <w:spacing w:after="60" w:line="320" w:lineRule="exact"/>
              <w:ind w:left="360" w:hanging="357"/>
              <w:contextualSpacing w:val="0"/>
              <w:rPr>
                <w:rFonts w:ascii="Poppins" w:hAnsi="Poppins" w:eastAsia="Times New Roman" w:cs="Poppins"/>
                <w:bCs/>
                <w:i/>
                <w:iCs/>
                <w:sz w:val="20"/>
                <w:szCs w:val="20"/>
              </w:rPr>
            </w:pPr>
            <w:r w:rsidRPr="00C43185">
              <w:rPr>
                <w:rFonts w:ascii="Poppins" w:hAnsi="Poppins" w:eastAsia="Times New Roman" w:cs="Poppins"/>
                <w:bCs/>
                <w:i/>
                <w:iCs/>
                <w:sz w:val="20"/>
                <w:szCs w:val="20"/>
              </w:rPr>
              <w:t xml:space="preserve">Draw on the strengths of your </w:t>
            </w:r>
            <w:r w:rsidR="007300DE">
              <w:rPr>
                <w:rFonts w:ascii="Poppins" w:hAnsi="Poppins" w:eastAsia="Times New Roman" w:cs="Poppins"/>
                <w:bCs/>
                <w:i/>
                <w:iCs/>
                <w:sz w:val="20"/>
                <w:szCs w:val="20"/>
              </w:rPr>
              <w:t>implementation te</w:t>
            </w:r>
            <w:r w:rsidR="00481952">
              <w:rPr>
                <w:rFonts w:ascii="Poppins" w:hAnsi="Poppins" w:eastAsia="Times New Roman" w:cs="Poppins"/>
                <w:bCs/>
                <w:i/>
                <w:iCs/>
                <w:sz w:val="20"/>
                <w:szCs w:val="20"/>
              </w:rPr>
              <w:t>a</w:t>
            </w:r>
            <w:r w:rsidR="007300DE">
              <w:rPr>
                <w:rFonts w:ascii="Poppins" w:hAnsi="Poppins" w:eastAsia="Times New Roman" w:cs="Poppins"/>
                <w:bCs/>
                <w:i/>
                <w:iCs/>
                <w:sz w:val="20"/>
                <w:szCs w:val="20"/>
              </w:rPr>
              <w:t>m</w:t>
            </w:r>
            <w:r w:rsidRPr="00C43185">
              <w:rPr>
                <w:rFonts w:ascii="Poppins" w:hAnsi="Poppins" w:eastAsia="Times New Roman" w:cs="Poppins"/>
                <w:bCs/>
                <w:i/>
                <w:iCs/>
                <w:sz w:val="20"/>
                <w:szCs w:val="20"/>
              </w:rPr>
              <w:t xml:space="preserve"> when developing the business case – ensure you allow time for research and engagement with key stakeholders, including liaison with internal Trust stakeholders in your finance, operation and clinical teams </w:t>
            </w:r>
          </w:p>
          <w:p w:rsidRPr="00C43185" w:rsidR="00FB3613" w:rsidP="001B36EE" w:rsidRDefault="00FB3613" w14:paraId="708DF9D3" w14:textId="6028678A">
            <w:pPr>
              <w:pStyle w:val="ListParagraph"/>
              <w:numPr>
                <w:ilvl w:val="0"/>
                <w:numId w:val="7"/>
              </w:numPr>
              <w:spacing w:after="60" w:line="320" w:lineRule="exact"/>
              <w:ind w:left="360" w:hanging="357"/>
              <w:contextualSpacing w:val="0"/>
              <w:rPr>
                <w:rFonts w:ascii="Poppins" w:hAnsi="Poppins" w:eastAsia="Times New Roman" w:cs="Poppins"/>
                <w:bCs/>
                <w:i/>
                <w:iCs/>
                <w:sz w:val="20"/>
                <w:szCs w:val="20"/>
              </w:rPr>
            </w:pPr>
            <w:r w:rsidRPr="00C43185">
              <w:rPr>
                <w:rFonts w:ascii="Poppins" w:hAnsi="Poppins" w:eastAsia="Times New Roman" w:cs="Poppins"/>
                <w:bCs/>
                <w:i/>
                <w:iCs/>
                <w:sz w:val="20"/>
                <w:szCs w:val="20"/>
              </w:rPr>
              <w:t>Identify risks in the context of how the business case will minimise or mitigate them</w:t>
            </w:r>
          </w:p>
          <w:p w:rsidRPr="0094129F" w:rsidR="0094129F" w:rsidP="001B36EE" w:rsidRDefault="00FB3613" w14:paraId="68A0D86D" w14:textId="77777777">
            <w:pPr>
              <w:pStyle w:val="ListParagraph"/>
              <w:numPr>
                <w:ilvl w:val="0"/>
                <w:numId w:val="7"/>
              </w:numPr>
              <w:spacing w:after="60" w:line="320" w:lineRule="exact"/>
              <w:ind w:left="360" w:hanging="357"/>
              <w:contextualSpacing w:val="0"/>
              <w:rPr>
                <w:rFonts w:ascii="Poppins" w:hAnsi="Poppins" w:eastAsia="Times New Roman" w:cs="Poppins"/>
                <w:sz w:val="20"/>
                <w:szCs w:val="20"/>
              </w:rPr>
            </w:pPr>
            <w:r w:rsidRPr="00C43185">
              <w:rPr>
                <w:rFonts w:ascii="Poppins" w:hAnsi="Poppins" w:eastAsia="Times New Roman" w:cs="Poppins"/>
                <w:bCs/>
                <w:i/>
                <w:iCs/>
                <w:sz w:val="20"/>
                <w:szCs w:val="20"/>
              </w:rPr>
              <w:t xml:space="preserve">Conduct appropriate research to clarify facts and outline realistic objectives and assumptions – use local and national databases such as </w:t>
            </w:r>
            <w:r w:rsidRPr="00C43185" w:rsidR="003A1069">
              <w:rPr>
                <w:rFonts w:ascii="Poppins" w:hAnsi="Poppins" w:eastAsia="Times New Roman" w:cs="Poppins"/>
                <w:bCs/>
                <w:i/>
                <w:iCs/>
                <w:sz w:val="20"/>
                <w:szCs w:val="20"/>
              </w:rPr>
              <w:t>Hospital Episode Statistics (</w:t>
            </w:r>
            <w:r w:rsidRPr="00C43185">
              <w:rPr>
                <w:rFonts w:ascii="Poppins" w:hAnsi="Poppins" w:eastAsia="Times New Roman" w:cs="Poppins"/>
                <w:bCs/>
                <w:i/>
                <w:iCs/>
                <w:sz w:val="20"/>
                <w:szCs w:val="20"/>
              </w:rPr>
              <w:t>HES</w:t>
            </w:r>
            <w:r w:rsidRPr="00C43185" w:rsidR="003A1069">
              <w:rPr>
                <w:rFonts w:ascii="Poppins" w:hAnsi="Poppins" w:eastAsia="Times New Roman" w:cs="Poppins"/>
                <w:bCs/>
                <w:i/>
                <w:iCs/>
                <w:sz w:val="20"/>
                <w:szCs w:val="20"/>
              </w:rPr>
              <w:t>)</w:t>
            </w:r>
            <w:r w:rsidRPr="00C43185">
              <w:rPr>
                <w:rFonts w:ascii="Poppins" w:hAnsi="Poppins" w:eastAsia="Times New Roman" w:cs="Poppins"/>
                <w:bCs/>
                <w:i/>
                <w:iCs/>
                <w:sz w:val="20"/>
                <w:szCs w:val="20"/>
              </w:rPr>
              <w:t>, audit results from your own</w:t>
            </w:r>
            <w:r w:rsidRPr="00C43185" w:rsidR="007075DC">
              <w:rPr>
                <w:rFonts w:ascii="Poppins" w:hAnsi="Poppins" w:eastAsia="Times New Roman" w:cs="Poppins"/>
                <w:bCs/>
                <w:i/>
                <w:iCs/>
                <w:sz w:val="20"/>
                <w:szCs w:val="20"/>
              </w:rPr>
              <w:t xml:space="preserve"> or</w:t>
            </w:r>
            <w:r w:rsidRPr="00C43185" w:rsidR="00FD14CF">
              <w:rPr>
                <w:rFonts w:ascii="Poppins" w:hAnsi="Poppins" w:eastAsia="Times New Roman" w:cs="Poppins"/>
                <w:bCs/>
                <w:i/>
                <w:iCs/>
                <w:sz w:val="20"/>
                <w:szCs w:val="20"/>
              </w:rPr>
              <w:t xml:space="preserve"> other</w:t>
            </w:r>
            <w:r w:rsidRPr="00C43185" w:rsidR="007075DC">
              <w:rPr>
                <w:rFonts w:ascii="Poppins" w:hAnsi="Poppins" w:eastAsia="Times New Roman" w:cs="Poppins"/>
                <w:bCs/>
                <w:i/>
                <w:iCs/>
                <w:sz w:val="20"/>
                <w:szCs w:val="20"/>
              </w:rPr>
              <w:t xml:space="preserve"> local</w:t>
            </w:r>
            <w:r w:rsidRPr="00C43185">
              <w:rPr>
                <w:rFonts w:ascii="Poppins" w:hAnsi="Poppins" w:eastAsia="Times New Roman" w:cs="Poppins"/>
                <w:bCs/>
                <w:i/>
                <w:iCs/>
                <w:sz w:val="20"/>
                <w:szCs w:val="20"/>
              </w:rPr>
              <w:t xml:space="preserve"> service</w:t>
            </w:r>
            <w:r w:rsidRPr="00C43185" w:rsidR="00FD14CF">
              <w:rPr>
                <w:rFonts w:ascii="Poppins" w:hAnsi="Poppins" w:eastAsia="Times New Roman" w:cs="Poppins"/>
                <w:bCs/>
                <w:i/>
                <w:iCs/>
                <w:sz w:val="20"/>
                <w:szCs w:val="20"/>
              </w:rPr>
              <w:t>s</w:t>
            </w:r>
            <w:r w:rsidRPr="00C43185">
              <w:rPr>
                <w:rFonts w:ascii="Poppins" w:hAnsi="Poppins" w:eastAsia="Times New Roman" w:cs="Poppins"/>
                <w:bCs/>
                <w:i/>
                <w:iCs/>
                <w:sz w:val="20"/>
                <w:szCs w:val="20"/>
              </w:rPr>
              <w:t xml:space="preserve"> to gather information and data about</w:t>
            </w:r>
            <w:r w:rsidRPr="00C43185" w:rsidR="005C0DEA">
              <w:rPr>
                <w:rFonts w:ascii="Poppins" w:hAnsi="Poppins" w:eastAsia="Times New Roman" w:cs="Poppins"/>
                <w:bCs/>
                <w:i/>
                <w:iCs/>
                <w:sz w:val="20"/>
                <w:szCs w:val="20"/>
              </w:rPr>
              <w:t xml:space="preserve"> </w:t>
            </w:r>
            <w:r w:rsidRPr="00C43185" w:rsidR="00242745">
              <w:rPr>
                <w:rFonts w:ascii="Poppins" w:hAnsi="Poppins" w:eastAsia="Times New Roman" w:cs="Poppins"/>
                <w:bCs/>
                <w:i/>
                <w:iCs/>
                <w:sz w:val="20"/>
                <w:szCs w:val="20"/>
              </w:rPr>
              <w:t>the need for</w:t>
            </w:r>
            <w:r w:rsidRPr="00C43185" w:rsidR="0015407C">
              <w:rPr>
                <w:rFonts w:ascii="Poppins" w:hAnsi="Poppins" w:eastAsia="Times New Roman" w:cs="Poppins"/>
                <w:bCs/>
                <w:i/>
                <w:iCs/>
                <w:sz w:val="20"/>
                <w:szCs w:val="20"/>
              </w:rPr>
              <w:t xml:space="preserve"> the service</w:t>
            </w:r>
          </w:p>
          <w:p w:rsidRPr="0094129F" w:rsidR="00B671CB" w:rsidP="001B36EE" w:rsidRDefault="0094129F" w14:paraId="68855684" w14:textId="364465D2">
            <w:pPr>
              <w:spacing w:after="40" w:line="320" w:lineRule="exact"/>
              <w:rPr>
                <w:rFonts w:ascii="Poppins" w:hAnsi="Poppins" w:eastAsia="Times New Roman" w:cs="Poppins"/>
                <w:sz w:val="20"/>
                <w:szCs w:val="20"/>
              </w:rPr>
            </w:pPr>
            <w:r>
              <w:rPr>
                <w:rFonts w:ascii="Poppins" w:hAnsi="Poppins" w:eastAsia="Times New Roman" w:cs="Poppins"/>
                <w:bCs/>
                <w:i/>
                <w:iCs/>
                <w:sz w:val="20"/>
                <w:szCs w:val="20"/>
              </w:rPr>
              <w:t xml:space="preserve">Please note that there may be uncertainty around potential patient numbers and identification of eligible patients, together with overall costs for implementing the service. This should be reflected in a local business case. </w:t>
            </w:r>
            <w:r w:rsidRPr="0094129F" w:rsidR="00242745">
              <w:rPr>
                <w:rFonts w:ascii="Poppins" w:hAnsi="Poppins" w:eastAsia="Times New Roman" w:cs="Poppins"/>
                <w:bCs/>
                <w:i/>
                <w:iCs/>
                <w:sz w:val="20"/>
                <w:szCs w:val="20"/>
              </w:rPr>
              <w:t xml:space="preserve"> </w:t>
            </w:r>
            <w:r w:rsidRPr="0094129F" w:rsidR="00FB3613">
              <w:rPr>
                <w:rFonts w:ascii="Poppins" w:hAnsi="Poppins" w:eastAsia="Times New Roman" w:cs="Poppins"/>
                <w:bCs/>
                <w:i/>
                <w:iCs/>
                <w:sz w:val="20"/>
                <w:szCs w:val="20"/>
              </w:rPr>
              <w:t xml:space="preserve"> </w:t>
            </w:r>
          </w:p>
          <w:p w:rsidRPr="00C43185" w:rsidR="00B671CB" w:rsidP="001B36EE" w:rsidRDefault="00B671CB" w14:paraId="663D6A68" w14:textId="005D51E2">
            <w:pPr>
              <w:spacing w:after="40" w:line="320" w:lineRule="exact"/>
              <w:rPr>
                <w:rFonts w:ascii="Poppins" w:hAnsi="Poppins" w:eastAsia="Times New Roman" w:cs="Poppins"/>
                <w:i/>
                <w:iCs/>
              </w:rPr>
            </w:pPr>
            <w:r w:rsidRPr="00C43185">
              <w:rPr>
                <w:rFonts w:ascii="Poppins" w:hAnsi="Poppins" w:eastAsia="Times New Roman" w:cs="Poppins"/>
                <w:i/>
                <w:iCs/>
                <w:sz w:val="20"/>
                <w:szCs w:val="20"/>
              </w:rPr>
              <w:t xml:space="preserve">The resource should be used to populate any local business case templates required by your service commissioner and may not therefore contain all the information required for you to complete your template requirements. </w:t>
            </w:r>
          </w:p>
        </w:tc>
      </w:tr>
    </w:tbl>
    <w:bookmarkEnd w:displacedByCustomXml="next" w:id="0"/>
    <w:sdt>
      <w:sdtPr>
        <w:id w:val="1429934945"/>
        <w:docPartObj>
          <w:docPartGallery w:val="Table of Contents"/>
          <w:docPartUnique/>
        </w:docPartObj>
        <w:rPr>
          <w:rFonts w:ascii="Poppins" w:hAnsi="Poppins" w:eastAsia="ＭＳ 明朝" w:cs="Poppins" w:eastAsiaTheme="minorEastAsia"/>
          <w:b w:val="0"/>
          <w:bCs w:val="0"/>
          <w:noProof/>
          <w:color w:val="auto"/>
          <w:sz w:val="32"/>
          <w:szCs w:val="32"/>
        </w:rPr>
      </w:sdtPr>
      <w:sdtEndPr>
        <w:rPr>
          <w:rFonts w:ascii="Poppins" w:hAnsi="Poppins" w:eastAsia="ＭＳ 明朝" w:cs="Poppins" w:eastAsiaTheme="minorEastAsia"/>
          <w:b w:val="1"/>
          <w:bCs w:val="1"/>
          <w:noProof/>
          <w:color w:val="0023C8"/>
          <w:sz w:val="18"/>
          <w:szCs w:val="18"/>
        </w:rPr>
      </w:sdtEndPr>
      <w:sdtContent>
        <w:p w:rsidRPr="00E412FF" w:rsidR="00745535" w:rsidP="001B36EE" w:rsidRDefault="00745535" w14:paraId="676F0F98" w14:textId="10B5D44B">
          <w:pPr>
            <w:pStyle w:val="TOCHeading"/>
            <w:spacing w:before="0" w:line="240" w:lineRule="auto"/>
            <w:rPr>
              <w:rFonts w:ascii="Poppins" w:hAnsi="Poppins" w:cs="Poppins"/>
              <w:color w:val="0023C8"/>
              <w:sz w:val="32"/>
              <w:szCs w:val="32"/>
            </w:rPr>
          </w:pPr>
          <w:r w:rsidRPr="00E412FF">
            <w:rPr>
              <w:rFonts w:ascii="Poppins" w:hAnsi="Poppins" w:cs="Poppins"/>
              <w:color w:val="0023C8"/>
              <w:sz w:val="32"/>
              <w:szCs w:val="32"/>
            </w:rPr>
            <w:t>Contents</w:t>
          </w:r>
        </w:p>
        <w:p w:rsidRPr="00E412FF" w:rsidR="00E412FF" w:rsidP="00E412FF" w:rsidRDefault="00745535" w14:paraId="4BABE09B" w14:textId="71E409B7">
          <w:pPr>
            <w:pStyle w:val="TOC1"/>
            <w:spacing w:before="0" w:line="280" w:lineRule="exact"/>
            <w:rPr>
              <w:b w:val="0"/>
              <w:bCs w:val="0"/>
              <w:color w:val="auto"/>
              <w:kern w:val="2"/>
              <w:lang w:val="en-GB" w:eastAsia="en-GB"/>
              <w14:ligatures w14:val="standardContextual"/>
            </w:rPr>
          </w:pPr>
          <w:r w:rsidRPr="00E412FF">
            <w:rPr>
              <w:noProof w:val="0"/>
            </w:rPr>
            <w:fldChar w:fldCharType="begin"/>
          </w:r>
          <w:r w:rsidRPr="00E412FF">
            <w:instrText xml:space="preserve"> TOC \o "1-3" \h \z \u </w:instrText>
          </w:r>
          <w:r w:rsidRPr="00E412FF">
            <w:rPr>
              <w:noProof w:val="0"/>
            </w:rPr>
            <w:fldChar w:fldCharType="separate"/>
          </w:r>
          <w:hyperlink w:history="1" w:anchor="_Toc229391525">
            <w:r w:rsidRPr="00E412FF" w:rsidR="00E412FF">
              <w:rPr>
                <w:rStyle w:val="Hyperlink"/>
              </w:rPr>
              <w:t>1.</w:t>
            </w:r>
            <w:r w:rsidRPr="00E412FF" w:rsidR="00E412FF">
              <w:rPr>
                <w:b w:val="0"/>
                <w:bCs w:val="0"/>
                <w:color w:val="auto"/>
                <w:kern w:val="2"/>
                <w:lang w:val="en-GB" w:eastAsia="en-GB"/>
                <w14:ligatures w14:val="standardContextual"/>
              </w:rPr>
              <w:tab/>
            </w:r>
            <w:r w:rsidRPr="00E412FF" w:rsidR="00E412FF">
              <w:rPr>
                <w:rStyle w:val="Hyperlink"/>
              </w:rPr>
              <w:t>Executive Summary</w:t>
            </w:r>
            <w:r w:rsidRPr="00E412FF" w:rsidR="00E412FF">
              <w:rPr>
                <w:webHidden/>
              </w:rPr>
              <w:tab/>
            </w:r>
            <w:r w:rsidRPr="00E412FF" w:rsidR="00E412FF">
              <w:rPr>
                <w:webHidden/>
              </w:rPr>
              <w:fldChar w:fldCharType="begin"/>
            </w:r>
            <w:r w:rsidRPr="00E412FF" w:rsidR="00E412FF">
              <w:rPr>
                <w:webHidden/>
              </w:rPr>
              <w:instrText xml:space="preserve"> PAGEREF _Toc229391525 \h </w:instrText>
            </w:r>
            <w:r w:rsidRPr="00E412FF" w:rsidR="00E412FF">
              <w:rPr>
                <w:webHidden/>
              </w:rPr>
            </w:r>
            <w:r w:rsidRPr="00E412FF" w:rsidR="00E412FF">
              <w:rPr>
                <w:webHidden/>
              </w:rPr>
              <w:fldChar w:fldCharType="separate"/>
            </w:r>
            <w:r w:rsidRPr="00E412FF" w:rsidR="00E412FF">
              <w:rPr>
                <w:webHidden/>
              </w:rPr>
              <w:t>4</w:t>
            </w:r>
            <w:r w:rsidRPr="00E412FF" w:rsidR="00E412FF">
              <w:rPr>
                <w:webHidden/>
              </w:rPr>
              <w:fldChar w:fldCharType="end"/>
            </w:r>
          </w:hyperlink>
        </w:p>
        <w:p w:rsidRPr="00E412FF" w:rsidR="00E412FF" w:rsidP="00E412FF" w:rsidRDefault="00E412FF" w14:paraId="1BD469FF" w14:textId="73C57864">
          <w:pPr>
            <w:pStyle w:val="TOC1"/>
            <w:spacing w:before="0" w:line="280" w:lineRule="exact"/>
            <w:rPr>
              <w:b w:val="0"/>
              <w:bCs w:val="0"/>
              <w:color w:val="auto"/>
              <w:kern w:val="2"/>
              <w:lang w:val="en-GB" w:eastAsia="en-GB"/>
              <w14:ligatures w14:val="standardContextual"/>
            </w:rPr>
          </w:pPr>
          <w:hyperlink w:history="1" w:anchor="_Toc229391526">
            <w:r w:rsidRPr="00E412FF">
              <w:rPr>
                <w:rStyle w:val="Hyperlink"/>
              </w:rPr>
              <w:t>2.</w:t>
            </w:r>
            <w:r w:rsidRPr="00E412FF">
              <w:rPr>
                <w:b w:val="0"/>
                <w:bCs w:val="0"/>
                <w:color w:val="auto"/>
                <w:kern w:val="2"/>
                <w:lang w:val="en-GB" w:eastAsia="en-GB"/>
                <w14:ligatures w14:val="standardContextual"/>
              </w:rPr>
              <w:tab/>
            </w:r>
            <w:r w:rsidRPr="00E412FF">
              <w:rPr>
                <w:rStyle w:val="Hyperlink"/>
              </w:rPr>
              <w:t>Strategic Case</w:t>
            </w:r>
            <w:r w:rsidRPr="00E412FF">
              <w:rPr>
                <w:webHidden/>
              </w:rPr>
              <w:tab/>
            </w:r>
            <w:r w:rsidRPr="00E412FF">
              <w:rPr>
                <w:webHidden/>
              </w:rPr>
              <w:fldChar w:fldCharType="begin"/>
            </w:r>
            <w:r w:rsidRPr="00E412FF">
              <w:rPr>
                <w:webHidden/>
              </w:rPr>
              <w:instrText xml:space="preserve"> PAGEREF _Toc229391526 \h </w:instrText>
            </w:r>
            <w:r w:rsidRPr="00E412FF">
              <w:rPr>
                <w:webHidden/>
              </w:rPr>
            </w:r>
            <w:r w:rsidRPr="00E412FF">
              <w:rPr>
                <w:webHidden/>
              </w:rPr>
              <w:fldChar w:fldCharType="separate"/>
            </w:r>
            <w:r w:rsidRPr="00E412FF">
              <w:rPr>
                <w:webHidden/>
              </w:rPr>
              <w:t>6</w:t>
            </w:r>
            <w:r w:rsidRPr="00E412FF">
              <w:rPr>
                <w:webHidden/>
              </w:rPr>
              <w:fldChar w:fldCharType="end"/>
            </w:r>
          </w:hyperlink>
        </w:p>
        <w:p w:rsidRPr="00E412FF" w:rsidR="00E412FF" w:rsidP="00E412FF" w:rsidRDefault="00E412FF" w14:paraId="3EF328F7" w14:textId="524023C6">
          <w:pPr>
            <w:pStyle w:val="TOC2"/>
            <w:spacing w:before="0" w:line="280" w:lineRule="exact"/>
            <w:rPr>
              <w:rFonts w:ascii="Poppins" w:hAnsi="Poppins" w:cs="Poppins"/>
              <w:noProof/>
              <w:kern w:val="2"/>
              <w:sz w:val="18"/>
              <w:szCs w:val="18"/>
              <w:lang w:val="en-GB" w:eastAsia="en-GB"/>
              <w14:ligatures w14:val="standardContextual"/>
            </w:rPr>
          </w:pPr>
          <w:hyperlink w:history="1" w:anchor="_Toc229391527">
            <w:r w:rsidRPr="00E412FF">
              <w:rPr>
                <w:rStyle w:val="Hyperlink"/>
                <w:rFonts w:ascii="Poppins" w:hAnsi="Poppins" w:cs="Poppins"/>
                <w:noProof/>
                <w:sz w:val="18"/>
                <w:szCs w:val="18"/>
              </w:rPr>
              <w:t>2.1 Strategic fit</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_Toc229391527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7</w:t>
            </w:r>
            <w:r w:rsidRPr="00E412FF">
              <w:rPr>
                <w:rFonts w:ascii="Poppins" w:hAnsi="Poppins" w:cs="Poppins"/>
                <w:noProof/>
                <w:webHidden/>
                <w:sz w:val="18"/>
                <w:szCs w:val="18"/>
              </w:rPr>
              <w:fldChar w:fldCharType="end"/>
            </w:r>
          </w:hyperlink>
        </w:p>
        <w:p w:rsidRPr="00E412FF" w:rsidR="00E412FF" w:rsidP="00E412FF" w:rsidRDefault="00E412FF" w14:paraId="11775098" w14:textId="533FB23D">
          <w:pPr>
            <w:pStyle w:val="TOC2"/>
            <w:spacing w:before="0" w:line="280" w:lineRule="exact"/>
            <w:rPr>
              <w:rFonts w:ascii="Poppins" w:hAnsi="Poppins" w:cs="Poppins"/>
              <w:noProof/>
              <w:kern w:val="2"/>
              <w:sz w:val="18"/>
              <w:szCs w:val="18"/>
              <w:lang w:val="en-GB" w:eastAsia="en-GB"/>
              <w14:ligatures w14:val="standardContextual"/>
            </w:rPr>
          </w:pPr>
          <w:hyperlink w:history="1" w:anchor="_Toc229391528">
            <w:r w:rsidRPr="00E412FF">
              <w:rPr>
                <w:rStyle w:val="Hyperlink"/>
                <w:rFonts w:ascii="Poppins" w:hAnsi="Poppins" w:cs="Poppins"/>
                <w:noProof/>
                <w:sz w:val="18"/>
                <w:szCs w:val="18"/>
              </w:rPr>
              <w:t>2.2 Case for change</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_Toc229391528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9</w:t>
            </w:r>
            <w:r w:rsidRPr="00E412FF">
              <w:rPr>
                <w:rFonts w:ascii="Poppins" w:hAnsi="Poppins" w:cs="Poppins"/>
                <w:noProof/>
                <w:webHidden/>
                <w:sz w:val="18"/>
                <w:szCs w:val="18"/>
              </w:rPr>
              <w:fldChar w:fldCharType="end"/>
            </w:r>
          </w:hyperlink>
        </w:p>
        <w:p w:rsidRPr="00E412FF" w:rsidR="00E412FF" w:rsidP="00E412FF" w:rsidRDefault="00E412FF" w14:paraId="295B87ED" w14:textId="69C00764">
          <w:pPr>
            <w:pStyle w:val="TOC2"/>
            <w:spacing w:before="0" w:line="280" w:lineRule="exact"/>
            <w:rPr>
              <w:rFonts w:ascii="Poppins" w:hAnsi="Poppins" w:cs="Poppins"/>
              <w:noProof/>
              <w:kern w:val="2"/>
              <w:sz w:val="18"/>
              <w:szCs w:val="18"/>
              <w:lang w:val="en-GB" w:eastAsia="en-GB"/>
              <w14:ligatures w14:val="standardContextual"/>
            </w:rPr>
          </w:pPr>
          <w:hyperlink w:history="1" w:anchor="_Toc229391529">
            <w:r w:rsidRPr="00E412FF">
              <w:rPr>
                <w:rStyle w:val="Hyperlink"/>
                <w:rFonts w:ascii="Poppins" w:hAnsi="Poppins" w:cs="Poppins"/>
                <w:noProof/>
                <w:sz w:val="18"/>
                <w:szCs w:val="18"/>
              </w:rPr>
              <w:t>2.3 Objectives and scope</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_Toc229391529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12</w:t>
            </w:r>
            <w:r w:rsidRPr="00E412FF">
              <w:rPr>
                <w:rFonts w:ascii="Poppins" w:hAnsi="Poppins" w:cs="Poppins"/>
                <w:noProof/>
                <w:webHidden/>
                <w:sz w:val="18"/>
                <w:szCs w:val="18"/>
              </w:rPr>
              <w:fldChar w:fldCharType="end"/>
            </w:r>
          </w:hyperlink>
        </w:p>
        <w:p w:rsidRPr="00E412FF" w:rsidR="00E412FF" w:rsidP="00E412FF" w:rsidRDefault="00E412FF" w14:paraId="377A451F" w14:textId="1C4EDB83">
          <w:pPr>
            <w:pStyle w:val="TOC2"/>
            <w:spacing w:before="0" w:line="280" w:lineRule="exact"/>
            <w:rPr>
              <w:rFonts w:ascii="Poppins" w:hAnsi="Poppins" w:cs="Poppins"/>
              <w:noProof/>
              <w:kern w:val="2"/>
              <w:sz w:val="18"/>
              <w:szCs w:val="18"/>
              <w:lang w:val="en-GB" w:eastAsia="en-GB"/>
              <w14:ligatures w14:val="standardContextual"/>
            </w:rPr>
          </w:pPr>
          <w:hyperlink w:history="1" w:anchor="_Toc229391530">
            <w:r w:rsidRPr="00E412FF">
              <w:rPr>
                <w:rStyle w:val="Hyperlink"/>
                <w:rFonts w:ascii="Poppins" w:hAnsi="Poppins" w:cs="Poppins"/>
                <w:noProof/>
                <w:sz w:val="18"/>
                <w:szCs w:val="18"/>
              </w:rPr>
              <w:t>2.4 Stakeholders</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_Toc229391530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12</w:t>
            </w:r>
            <w:r w:rsidRPr="00E412FF">
              <w:rPr>
                <w:rFonts w:ascii="Poppins" w:hAnsi="Poppins" w:cs="Poppins"/>
                <w:noProof/>
                <w:webHidden/>
                <w:sz w:val="18"/>
                <w:szCs w:val="18"/>
              </w:rPr>
              <w:fldChar w:fldCharType="end"/>
            </w:r>
          </w:hyperlink>
        </w:p>
        <w:p w:rsidRPr="00E412FF" w:rsidR="00E412FF" w:rsidP="00E412FF" w:rsidRDefault="00E412FF" w14:paraId="68BA8EAD" w14:textId="191950F2">
          <w:pPr>
            <w:pStyle w:val="TOC1"/>
            <w:spacing w:before="0" w:line="280" w:lineRule="exact"/>
            <w:rPr>
              <w:b w:val="0"/>
              <w:bCs w:val="0"/>
              <w:color w:val="auto"/>
              <w:kern w:val="2"/>
              <w:lang w:val="en-GB" w:eastAsia="en-GB"/>
              <w14:ligatures w14:val="standardContextual"/>
            </w:rPr>
          </w:pPr>
          <w:hyperlink w:history="1" w:anchor="_Toc229391531">
            <w:r w:rsidRPr="00E412FF">
              <w:rPr>
                <w:rStyle w:val="Hyperlink"/>
              </w:rPr>
              <w:t>3. Economic Case</w:t>
            </w:r>
            <w:r w:rsidRPr="00E412FF">
              <w:rPr>
                <w:webHidden/>
              </w:rPr>
              <w:tab/>
            </w:r>
            <w:r w:rsidRPr="00E412FF">
              <w:rPr>
                <w:webHidden/>
              </w:rPr>
              <w:fldChar w:fldCharType="begin"/>
            </w:r>
            <w:r w:rsidRPr="00E412FF">
              <w:rPr>
                <w:webHidden/>
              </w:rPr>
              <w:instrText xml:space="preserve"> PAGEREF _Toc229391531 \h </w:instrText>
            </w:r>
            <w:r w:rsidRPr="00E412FF">
              <w:rPr>
                <w:webHidden/>
              </w:rPr>
            </w:r>
            <w:r w:rsidRPr="00E412FF">
              <w:rPr>
                <w:webHidden/>
              </w:rPr>
              <w:fldChar w:fldCharType="separate"/>
            </w:r>
            <w:r w:rsidRPr="00E412FF">
              <w:rPr>
                <w:webHidden/>
              </w:rPr>
              <w:t>13</w:t>
            </w:r>
            <w:r w:rsidRPr="00E412FF">
              <w:rPr>
                <w:webHidden/>
              </w:rPr>
              <w:fldChar w:fldCharType="end"/>
            </w:r>
          </w:hyperlink>
        </w:p>
        <w:p w:rsidRPr="00E412FF" w:rsidR="00E412FF" w:rsidP="00E412FF" w:rsidRDefault="00E412FF" w14:paraId="58006993" w14:textId="56DB295A">
          <w:pPr>
            <w:pStyle w:val="TOC2"/>
            <w:spacing w:before="0" w:line="280" w:lineRule="exact"/>
            <w:rPr>
              <w:rFonts w:ascii="Poppins" w:hAnsi="Poppins" w:cs="Poppins"/>
              <w:noProof/>
              <w:kern w:val="2"/>
              <w:sz w:val="18"/>
              <w:szCs w:val="18"/>
              <w:lang w:val="en-GB" w:eastAsia="en-GB"/>
              <w14:ligatures w14:val="standardContextual"/>
            </w:rPr>
          </w:pPr>
          <w:hyperlink w:history="1" w:anchor="_Toc229391532">
            <w:r w:rsidRPr="00E412FF">
              <w:rPr>
                <w:rStyle w:val="Hyperlink"/>
                <w:rFonts w:ascii="Poppins" w:hAnsi="Poppins" w:cs="Poppins"/>
                <w:noProof/>
                <w:sz w:val="18"/>
                <w:szCs w:val="18"/>
              </w:rPr>
              <w:t>3.1 Costs associated with T1D</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_Toc229391532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14</w:t>
            </w:r>
            <w:r w:rsidRPr="00E412FF">
              <w:rPr>
                <w:rFonts w:ascii="Poppins" w:hAnsi="Poppins" w:cs="Poppins"/>
                <w:noProof/>
                <w:webHidden/>
                <w:sz w:val="18"/>
                <w:szCs w:val="18"/>
              </w:rPr>
              <w:fldChar w:fldCharType="end"/>
            </w:r>
          </w:hyperlink>
        </w:p>
        <w:p w:rsidRPr="00E412FF" w:rsidR="00E412FF" w:rsidP="00E412FF" w:rsidRDefault="00E412FF" w14:paraId="22DF075E" w14:textId="72C348F5">
          <w:pPr>
            <w:pStyle w:val="TOC2"/>
            <w:spacing w:before="0" w:line="280" w:lineRule="exact"/>
            <w:rPr>
              <w:rFonts w:ascii="Poppins" w:hAnsi="Poppins" w:cs="Poppins"/>
              <w:noProof/>
              <w:kern w:val="2"/>
              <w:sz w:val="18"/>
              <w:szCs w:val="18"/>
              <w:lang w:val="en-GB" w:eastAsia="en-GB"/>
              <w14:ligatures w14:val="standardContextual"/>
            </w:rPr>
          </w:pPr>
          <w:hyperlink w:history="1" w:anchor="_Toc229391533">
            <w:r w:rsidRPr="00E412FF">
              <w:rPr>
                <w:rStyle w:val="Hyperlink"/>
                <w:rFonts w:ascii="Poppins" w:hAnsi="Poppins" w:cs="Poppins"/>
                <w:noProof/>
                <w:sz w:val="18"/>
                <w:szCs w:val="18"/>
              </w:rPr>
              <w:t>3.2 Likely patient numbers for the proposed service</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_Toc229391533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15</w:t>
            </w:r>
            <w:r w:rsidRPr="00E412FF">
              <w:rPr>
                <w:rFonts w:ascii="Poppins" w:hAnsi="Poppins" w:cs="Poppins"/>
                <w:noProof/>
                <w:webHidden/>
                <w:sz w:val="18"/>
                <w:szCs w:val="18"/>
              </w:rPr>
              <w:fldChar w:fldCharType="end"/>
            </w:r>
          </w:hyperlink>
        </w:p>
        <w:p w:rsidRPr="00E412FF" w:rsidR="00E412FF" w:rsidP="00E412FF" w:rsidRDefault="00E412FF" w14:paraId="612A6841" w14:textId="59712C8A">
          <w:pPr>
            <w:pStyle w:val="TOC2"/>
            <w:spacing w:before="0" w:line="280" w:lineRule="exact"/>
            <w:rPr>
              <w:rFonts w:ascii="Poppins" w:hAnsi="Poppins" w:cs="Poppins"/>
              <w:noProof/>
              <w:kern w:val="2"/>
              <w:sz w:val="18"/>
              <w:szCs w:val="18"/>
              <w:lang w:val="en-GB" w:eastAsia="en-GB"/>
              <w14:ligatures w14:val="standardContextual"/>
            </w:rPr>
          </w:pPr>
          <w:hyperlink w:history="1" w:anchor="_Toc229391534">
            <w:r w:rsidRPr="00E412FF">
              <w:rPr>
                <w:rStyle w:val="Hyperlink"/>
                <w:rFonts w:ascii="Poppins" w:hAnsi="Poppins" w:cs="Poppins"/>
                <w:noProof/>
                <w:sz w:val="18"/>
                <w:szCs w:val="18"/>
              </w:rPr>
              <w:t>3.3 Proposed service model</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_Toc229391534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16</w:t>
            </w:r>
            <w:r w:rsidRPr="00E412FF">
              <w:rPr>
                <w:rFonts w:ascii="Poppins" w:hAnsi="Poppins" w:cs="Poppins"/>
                <w:noProof/>
                <w:webHidden/>
                <w:sz w:val="18"/>
                <w:szCs w:val="18"/>
              </w:rPr>
              <w:fldChar w:fldCharType="end"/>
            </w:r>
          </w:hyperlink>
        </w:p>
        <w:p w:rsidRPr="00E412FF" w:rsidR="00E412FF" w:rsidP="00E412FF" w:rsidRDefault="00E412FF" w14:paraId="32EE6DEA" w14:textId="0CCD0D1B">
          <w:pPr>
            <w:pStyle w:val="TOC2"/>
            <w:spacing w:before="0" w:line="280" w:lineRule="exact"/>
            <w:rPr>
              <w:rFonts w:ascii="Poppins" w:hAnsi="Poppins" w:cs="Poppins"/>
              <w:noProof/>
              <w:kern w:val="2"/>
              <w:sz w:val="18"/>
              <w:szCs w:val="18"/>
              <w:lang w:val="en-GB" w:eastAsia="en-GB"/>
              <w14:ligatures w14:val="standardContextual"/>
            </w:rPr>
          </w:pPr>
          <w:hyperlink w:history="1" w:anchor="_Toc229391535">
            <w:r w:rsidRPr="00E412FF">
              <w:rPr>
                <w:rStyle w:val="Hyperlink"/>
                <w:rFonts w:ascii="Poppins" w:hAnsi="Poppins" w:cs="Poppins"/>
                <w:noProof/>
                <w:sz w:val="18"/>
                <w:szCs w:val="18"/>
              </w:rPr>
              <w:t>3.4 Critical success factors</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_Toc229391535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21</w:t>
            </w:r>
            <w:r w:rsidRPr="00E412FF">
              <w:rPr>
                <w:rFonts w:ascii="Poppins" w:hAnsi="Poppins" w:cs="Poppins"/>
                <w:noProof/>
                <w:webHidden/>
                <w:sz w:val="18"/>
                <w:szCs w:val="18"/>
              </w:rPr>
              <w:fldChar w:fldCharType="end"/>
            </w:r>
          </w:hyperlink>
        </w:p>
        <w:p w:rsidRPr="00E412FF" w:rsidR="00E412FF" w:rsidP="00E412FF" w:rsidRDefault="00E412FF" w14:paraId="7FFB7DD9" w14:textId="0F1C7A53">
          <w:pPr>
            <w:pStyle w:val="TOC2"/>
            <w:spacing w:before="0" w:line="280" w:lineRule="exact"/>
            <w:rPr>
              <w:rFonts w:ascii="Poppins" w:hAnsi="Poppins" w:cs="Poppins"/>
              <w:noProof/>
              <w:kern w:val="2"/>
              <w:sz w:val="18"/>
              <w:szCs w:val="18"/>
              <w:lang w:val="en-GB" w:eastAsia="en-GB"/>
              <w14:ligatures w14:val="standardContextual"/>
            </w:rPr>
          </w:pPr>
          <w:hyperlink w:history="1" w:anchor="_Toc229391536">
            <w:r w:rsidRPr="00E412FF">
              <w:rPr>
                <w:rStyle w:val="Hyperlink"/>
                <w:rFonts w:ascii="Poppins" w:hAnsi="Poppins" w:cs="Poppins"/>
                <w:noProof/>
                <w:sz w:val="18"/>
                <w:szCs w:val="18"/>
              </w:rPr>
              <w:t>3.5 Equity of access</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_Toc229391536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22</w:t>
            </w:r>
            <w:r w:rsidRPr="00E412FF">
              <w:rPr>
                <w:rFonts w:ascii="Poppins" w:hAnsi="Poppins" w:cs="Poppins"/>
                <w:noProof/>
                <w:webHidden/>
                <w:sz w:val="18"/>
                <w:szCs w:val="18"/>
              </w:rPr>
              <w:fldChar w:fldCharType="end"/>
            </w:r>
          </w:hyperlink>
        </w:p>
        <w:p w:rsidRPr="00E412FF" w:rsidR="00E412FF" w:rsidP="00E412FF" w:rsidRDefault="00E412FF" w14:paraId="6E17F7D9" w14:textId="18734CD3">
          <w:pPr>
            <w:pStyle w:val="TOC2"/>
            <w:spacing w:before="0" w:line="280" w:lineRule="exact"/>
            <w:rPr>
              <w:rFonts w:ascii="Poppins" w:hAnsi="Poppins" w:cs="Poppins"/>
              <w:noProof/>
              <w:kern w:val="2"/>
              <w:sz w:val="18"/>
              <w:szCs w:val="18"/>
              <w:lang w:val="en-GB" w:eastAsia="en-GB"/>
              <w14:ligatures w14:val="standardContextual"/>
            </w:rPr>
          </w:pPr>
          <w:hyperlink w:history="1" w:anchor="_Toc229391537">
            <w:r w:rsidRPr="00E412FF">
              <w:rPr>
                <w:rStyle w:val="Hyperlink"/>
                <w:rFonts w:ascii="Poppins" w:hAnsi="Poppins" w:eastAsia="Calibri" w:cs="Poppins"/>
                <w:noProof/>
                <w:sz w:val="18"/>
                <w:szCs w:val="18"/>
              </w:rPr>
              <w:t>Complete the necessary Equality Impact Assessment for your organisation in section 5) Delivery and assurance&gt;</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_Toc229391537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22</w:t>
            </w:r>
            <w:r w:rsidRPr="00E412FF">
              <w:rPr>
                <w:rFonts w:ascii="Poppins" w:hAnsi="Poppins" w:cs="Poppins"/>
                <w:noProof/>
                <w:webHidden/>
                <w:sz w:val="18"/>
                <w:szCs w:val="18"/>
              </w:rPr>
              <w:fldChar w:fldCharType="end"/>
            </w:r>
          </w:hyperlink>
        </w:p>
        <w:p w:rsidRPr="00E412FF" w:rsidR="00E412FF" w:rsidP="00E412FF" w:rsidRDefault="00E412FF" w14:paraId="288C3027" w14:textId="1824A9AF">
          <w:pPr>
            <w:pStyle w:val="TOC1"/>
            <w:spacing w:before="0" w:line="280" w:lineRule="exact"/>
            <w:rPr>
              <w:b w:val="0"/>
              <w:bCs w:val="0"/>
              <w:color w:val="auto"/>
              <w:kern w:val="2"/>
              <w:lang w:val="en-GB" w:eastAsia="en-GB"/>
              <w14:ligatures w14:val="standardContextual"/>
            </w:rPr>
          </w:pPr>
          <w:hyperlink w:history="1" w:anchor="_Toc229391538">
            <w:r w:rsidRPr="00E412FF">
              <w:rPr>
                <w:rStyle w:val="Hyperlink"/>
              </w:rPr>
              <w:t>4.</w:t>
            </w:r>
            <w:r w:rsidRPr="00E412FF">
              <w:rPr>
                <w:b w:val="0"/>
                <w:bCs w:val="0"/>
                <w:color w:val="auto"/>
                <w:kern w:val="2"/>
                <w:lang w:val="en-GB" w:eastAsia="en-GB"/>
                <w14:ligatures w14:val="standardContextual"/>
              </w:rPr>
              <w:tab/>
            </w:r>
            <w:r w:rsidRPr="00E412FF">
              <w:rPr>
                <w:rStyle w:val="Hyperlink"/>
              </w:rPr>
              <w:t>Financial Case</w:t>
            </w:r>
            <w:r w:rsidRPr="00E412FF">
              <w:rPr>
                <w:webHidden/>
              </w:rPr>
              <w:tab/>
            </w:r>
            <w:r w:rsidRPr="00E412FF">
              <w:rPr>
                <w:webHidden/>
              </w:rPr>
              <w:fldChar w:fldCharType="begin"/>
            </w:r>
            <w:r w:rsidRPr="00E412FF">
              <w:rPr>
                <w:webHidden/>
              </w:rPr>
              <w:instrText xml:space="preserve"> PAGEREF _Toc229391538 \h </w:instrText>
            </w:r>
            <w:r w:rsidRPr="00E412FF">
              <w:rPr>
                <w:webHidden/>
              </w:rPr>
            </w:r>
            <w:r w:rsidRPr="00E412FF">
              <w:rPr>
                <w:webHidden/>
              </w:rPr>
              <w:fldChar w:fldCharType="separate"/>
            </w:r>
            <w:r w:rsidRPr="00E412FF">
              <w:rPr>
                <w:webHidden/>
              </w:rPr>
              <w:t>23</w:t>
            </w:r>
            <w:r w:rsidRPr="00E412FF">
              <w:rPr>
                <w:webHidden/>
              </w:rPr>
              <w:fldChar w:fldCharType="end"/>
            </w:r>
          </w:hyperlink>
        </w:p>
        <w:p w:rsidRPr="00E412FF" w:rsidR="00E412FF" w:rsidP="00E412FF" w:rsidRDefault="00E412FF" w14:paraId="2520066F" w14:textId="5CB4E578">
          <w:pPr>
            <w:pStyle w:val="TOC2"/>
            <w:spacing w:before="0" w:line="280" w:lineRule="exact"/>
            <w:rPr>
              <w:rFonts w:ascii="Poppins" w:hAnsi="Poppins" w:cs="Poppins"/>
              <w:noProof/>
              <w:kern w:val="2"/>
              <w:sz w:val="18"/>
              <w:szCs w:val="18"/>
              <w:lang w:val="en-GB" w:eastAsia="en-GB"/>
              <w14:ligatures w14:val="standardContextual"/>
            </w:rPr>
          </w:pPr>
          <w:hyperlink w:history="1" w:anchor="_Toc229391539">
            <w:r w:rsidRPr="00E412FF">
              <w:rPr>
                <w:rStyle w:val="Hyperlink"/>
                <w:rFonts w:ascii="Poppins" w:hAnsi="Poppins" w:cs="Poppins"/>
                <w:noProof/>
                <w:sz w:val="18"/>
                <w:szCs w:val="18"/>
              </w:rPr>
              <w:t>4.1 Cost breakdown</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_Toc229391539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24</w:t>
            </w:r>
            <w:r w:rsidRPr="00E412FF">
              <w:rPr>
                <w:rFonts w:ascii="Poppins" w:hAnsi="Poppins" w:cs="Poppins"/>
                <w:noProof/>
                <w:webHidden/>
                <w:sz w:val="18"/>
                <w:szCs w:val="18"/>
              </w:rPr>
              <w:fldChar w:fldCharType="end"/>
            </w:r>
          </w:hyperlink>
        </w:p>
        <w:p w:rsidRPr="00E412FF" w:rsidR="00E412FF" w:rsidP="00E412FF" w:rsidRDefault="00E412FF" w14:paraId="58A3A7FD" w14:textId="3E579BD8">
          <w:pPr>
            <w:pStyle w:val="TOC2"/>
            <w:spacing w:before="0" w:line="280" w:lineRule="exact"/>
            <w:rPr>
              <w:rFonts w:ascii="Poppins" w:hAnsi="Poppins" w:cs="Poppins"/>
              <w:noProof/>
              <w:kern w:val="2"/>
              <w:sz w:val="18"/>
              <w:szCs w:val="18"/>
              <w:lang w:val="en-GB" w:eastAsia="en-GB"/>
              <w14:ligatures w14:val="standardContextual"/>
            </w:rPr>
          </w:pPr>
          <w:hyperlink w:history="1" w:anchor="_Toc229391540">
            <w:r w:rsidRPr="00E412FF">
              <w:rPr>
                <w:rStyle w:val="Hyperlink"/>
                <w:rFonts w:ascii="Poppins" w:hAnsi="Poppins" w:cs="Poppins"/>
                <w:noProof/>
                <w:sz w:val="18"/>
                <w:szCs w:val="18"/>
              </w:rPr>
              <w:t>4.2 Funding</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_Toc229391540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25</w:t>
            </w:r>
            <w:r w:rsidRPr="00E412FF">
              <w:rPr>
                <w:rFonts w:ascii="Poppins" w:hAnsi="Poppins" w:cs="Poppins"/>
                <w:noProof/>
                <w:webHidden/>
                <w:sz w:val="18"/>
                <w:szCs w:val="18"/>
              </w:rPr>
              <w:fldChar w:fldCharType="end"/>
            </w:r>
          </w:hyperlink>
        </w:p>
        <w:p w:rsidRPr="00E412FF" w:rsidR="00E412FF" w:rsidP="00E412FF" w:rsidRDefault="00E412FF" w14:paraId="197082AF" w14:textId="77C57F95">
          <w:pPr>
            <w:pStyle w:val="TOC2"/>
            <w:spacing w:before="0" w:line="280" w:lineRule="exact"/>
            <w:rPr>
              <w:rFonts w:ascii="Poppins" w:hAnsi="Poppins" w:cs="Poppins"/>
              <w:noProof/>
              <w:kern w:val="2"/>
              <w:sz w:val="18"/>
              <w:szCs w:val="18"/>
              <w:lang w:val="en-GB" w:eastAsia="en-GB"/>
              <w14:ligatures w14:val="standardContextual"/>
            </w:rPr>
          </w:pPr>
          <w:hyperlink w:history="1" w:anchor="_Toc229391541">
            <w:r w:rsidRPr="00E412FF">
              <w:rPr>
                <w:rStyle w:val="Hyperlink"/>
                <w:rFonts w:ascii="Poppins" w:hAnsi="Poppins" w:cs="Poppins"/>
                <w:noProof/>
                <w:sz w:val="18"/>
                <w:szCs w:val="18"/>
              </w:rPr>
              <w:t>4.3 Ongoing costs and affordability</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_Toc229391541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26</w:t>
            </w:r>
            <w:r w:rsidRPr="00E412FF">
              <w:rPr>
                <w:rFonts w:ascii="Poppins" w:hAnsi="Poppins" w:cs="Poppins"/>
                <w:noProof/>
                <w:webHidden/>
                <w:sz w:val="18"/>
                <w:szCs w:val="18"/>
              </w:rPr>
              <w:fldChar w:fldCharType="end"/>
            </w:r>
          </w:hyperlink>
        </w:p>
        <w:p w:rsidRPr="00E412FF" w:rsidR="00E412FF" w:rsidP="00E412FF" w:rsidRDefault="00E412FF" w14:paraId="0C522B06" w14:textId="4CA88751">
          <w:pPr>
            <w:pStyle w:val="TOC2"/>
            <w:spacing w:before="0" w:line="280" w:lineRule="exact"/>
            <w:rPr>
              <w:rFonts w:ascii="Poppins" w:hAnsi="Poppins" w:cs="Poppins"/>
              <w:noProof/>
              <w:kern w:val="2"/>
              <w:sz w:val="18"/>
              <w:szCs w:val="18"/>
              <w:lang w:val="en-GB" w:eastAsia="en-GB"/>
              <w14:ligatures w14:val="standardContextual"/>
            </w:rPr>
          </w:pPr>
          <w:hyperlink w:history="1" w:anchor="_Toc229391542">
            <w:r w:rsidRPr="00E412FF">
              <w:rPr>
                <w:rStyle w:val="Hyperlink"/>
                <w:rFonts w:ascii="Poppins" w:hAnsi="Poppins" w:cs="Poppins"/>
                <w:noProof/>
                <w:sz w:val="18"/>
                <w:szCs w:val="18"/>
              </w:rPr>
              <w:t>4.4 Procurement</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_Toc229391542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26</w:t>
            </w:r>
            <w:r w:rsidRPr="00E412FF">
              <w:rPr>
                <w:rFonts w:ascii="Poppins" w:hAnsi="Poppins" w:cs="Poppins"/>
                <w:noProof/>
                <w:webHidden/>
                <w:sz w:val="18"/>
                <w:szCs w:val="18"/>
              </w:rPr>
              <w:fldChar w:fldCharType="end"/>
            </w:r>
          </w:hyperlink>
        </w:p>
        <w:p w:rsidRPr="00E412FF" w:rsidR="00E412FF" w:rsidP="00E412FF" w:rsidRDefault="00E412FF" w14:paraId="4749488A" w14:textId="7D70ED7A">
          <w:pPr>
            <w:pStyle w:val="TOC1"/>
            <w:spacing w:before="0" w:line="280" w:lineRule="exact"/>
            <w:rPr>
              <w:b w:val="0"/>
              <w:bCs w:val="0"/>
              <w:color w:val="auto"/>
              <w:kern w:val="2"/>
              <w:lang w:val="en-GB" w:eastAsia="en-GB"/>
              <w14:ligatures w14:val="standardContextual"/>
            </w:rPr>
          </w:pPr>
          <w:hyperlink w:history="1" w:anchor="_Toc229391543">
            <w:r w:rsidRPr="00E412FF">
              <w:rPr>
                <w:rStyle w:val="Hyperlink"/>
              </w:rPr>
              <w:t>5.</w:t>
            </w:r>
            <w:r w:rsidRPr="00E412FF">
              <w:rPr>
                <w:b w:val="0"/>
                <w:bCs w:val="0"/>
                <w:color w:val="auto"/>
                <w:kern w:val="2"/>
                <w:lang w:val="en-GB" w:eastAsia="en-GB"/>
                <w14:ligatures w14:val="standardContextual"/>
              </w:rPr>
              <w:tab/>
            </w:r>
            <w:r w:rsidRPr="00E412FF">
              <w:rPr>
                <w:rStyle w:val="Hyperlink"/>
              </w:rPr>
              <w:t>Management Case (Delivery &amp; Assurance)</w:t>
            </w:r>
            <w:r w:rsidRPr="00E412FF">
              <w:rPr>
                <w:webHidden/>
              </w:rPr>
              <w:tab/>
            </w:r>
            <w:r w:rsidRPr="00E412FF">
              <w:rPr>
                <w:webHidden/>
              </w:rPr>
              <w:fldChar w:fldCharType="begin"/>
            </w:r>
            <w:r w:rsidRPr="00E412FF">
              <w:rPr>
                <w:webHidden/>
              </w:rPr>
              <w:instrText xml:space="preserve"> PAGEREF _Toc229391543 \h </w:instrText>
            </w:r>
            <w:r w:rsidRPr="00E412FF">
              <w:rPr>
                <w:webHidden/>
              </w:rPr>
            </w:r>
            <w:r w:rsidRPr="00E412FF">
              <w:rPr>
                <w:webHidden/>
              </w:rPr>
              <w:fldChar w:fldCharType="separate"/>
            </w:r>
            <w:r w:rsidRPr="00E412FF">
              <w:rPr>
                <w:webHidden/>
              </w:rPr>
              <w:t>26</w:t>
            </w:r>
            <w:r w:rsidRPr="00E412FF">
              <w:rPr>
                <w:webHidden/>
              </w:rPr>
              <w:fldChar w:fldCharType="end"/>
            </w:r>
          </w:hyperlink>
        </w:p>
        <w:p w:rsidRPr="00E412FF" w:rsidR="00E412FF" w:rsidP="00E412FF" w:rsidRDefault="00E412FF" w14:paraId="6170BB49" w14:textId="4758BFE1">
          <w:pPr>
            <w:pStyle w:val="TOC2"/>
            <w:tabs>
              <w:tab w:val="left" w:pos="720"/>
            </w:tabs>
            <w:spacing w:before="0" w:line="280" w:lineRule="exact"/>
            <w:rPr>
              <w:rFonts w:ascii="Poppins" w:hAnsi="Poppins" w:cs="Poppins"/>
              <w:noProof/>
              <w:kern w:val="2"/>
              <w:sz w:val="18"/>
              <w:szCs w:val="18"/>
              <w:lang w:val="en-GB" w:eastAsia="en-GB"/>
              <w14:ligatures w14:val="standardContextual"/>
            </w:rPr>
          </w:pPr>
          <w:hyperlink w:history="1" w:anchor="_Toc229391544">
            <w:r w:rsidRPr="00E412FF">
              <w:rPr>
                <w:rStyle w:val="Hyperlink"/>
                <w:rFonts w:ascii="Poppins" w:hAnsi="Poppins" w:cs="Poppins"/>
                <w:noProof/>
                <w:sz w:val="18"/>
                <w:szCs w:val="18"/>
              </w:rPr>
              <w:t>5.1</w:t>
            </w:r>
            <w:r w:rsidRPr="00E412FF">
              <w:rPr>
                <w:rFonts w:ascii="Poppins" w:hAnsi="Poppins" w:cs="Poppins"/>
                <w:noProof/>
                <w:kern w:val="2"/>
                <w:sz w:val="18"/>
                <w:szCs w:val="18"/>
                <w:lang w:val="en-GB" w:eastAsia="en-GB"/>
                <w14:ligatures w14:val="standardContextual"/>
              </w:rPr>
              <w:tab/>
            </w:r>
            <w:r w:rsidRPr="00E412FF">
              <w:rPr>
                <w:rStyle w:val="Hyperlink"/>
                <w:rFonts w:ascii="Poppins" w:hAnsi="Poppins" w:cs="Poppins"/>
                <w:noProof/>
                <w:sz w:val="18"/>
                <w:szCs w:val="18"/>
              </w:rPr>
              <w:t>Risk, issues &amp; mitigations</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_Toc229391544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27</w:t>
            </w:r>
            <w:r w:rsidRPr="00E412FF">
              <w:rPr>
                <w:rFonts w:ascii="Poppins" w:hAnsi="Poppins" w:cs="Poppins"/>
                <w:noProof/>
                <w:webHidden/>
                <w:sz w:val="18"/>
                <w:szCs w:val="18"/>
              </w:rPr>
              <w:fldChar w:fldCharType="end"/>
            </w:r>
          </w:hyperlink>
        </w:p>
        <w:p w:rsidRPr="00E412FF" w:rsidR="00E412FF" w:rsidP="00E412FF" w:rsidRDefault="00E412FF" w14:paraId="3CCDC19A" w14:textId="6E25305E">
          <w:pPr>
            <w:pStyle w:val="TOC2"/>
            <w:spacing w:before="0" w:line="280" w:lineRule="exact"/>
            <w:rPr>
              <w:rFonts w:ascii="Poppins" w:hAnsi="Poppins" w:cs="Poppins"/>
              <w:noProof/>
              <w:kern w:val="2"/>
              <w:sz w:val="18"/>
              <w:szCs w:val="18"/>
              <w:lang w:val="en-GB" w:eastAsia="en-GB"/>
              <w14:ligatures w14:val="standardContextual"/>
            </w:rPr>
          </w:pPr>
          <w:hyperlink w:history="1" w:anchor="_Toc229391545">
            <w:r w:rsidRPr="00E412FF">
              <w:rPr>
                <w:rStyle w:val="Hyperlink"/>
                <w:rFonts w:ascii="Poppins" w:hAnsi="Poppins" w:eastAsia="Calibri" w:cs="Poppins"/>
                <w:noProof/>
                <w:sz w:val="18"/>
                <w:szCs w:val="18"/>
              </w:rPr>
              <w:t>Once you have populated your list, apply a risk matrix combining Consequences and Likelihood, each scored 1 to 5:</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_Toc229391545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27</w:t>
            </w:r>
            <w:r w:rsidRPr="00E412FF">
              <w:rPr>
                <w:rFonts w:ascii="Poppins" w:hAnsi="Poppins" w:cs="Poppins"/>
                <w:noProof/>
                <w:webHidden/>
                <w:sz w:val="18"/>
                <w:szCs w:val="18"/>
              </w:rPr>
              <w:fldChar w:fldCharType="end"/>
            </w:r>
          </w:hyperlink>
        </w:p>
        <w:p w:rsidRPr="00E412FF" w:rsidR="00E412FF" w:rsidP="00E412FF" w:rsidRDefault="00E412FF" w14:paraId="3C8901DE" w14:textId="374B4E4A">
          <w:pPr>
            <w:pStyle w:val="TOC2"/>
            <w:spacing w:before="0" w:line="280" w:lineRule="exact"/>
            <w:rPr>
              <w:rFonts w:ascii="Poppins" w:hAnsi="Poppins" w:cs="Poppins"/>
              <w:noProof/>
              <w:kern w:val="2"/>
              <w:sz w:val="18"/>
              <w:szCs w:val="18"/>
              <w:lang w:val="en-GB" w:eastAsia="en-GB"/>
              <w14:ligatures w14:val="standardContextual"/>
            </w:rPr>
          </w:pPr>
          <w:hyperlink w:history="1" w:anchor="_Toc229391546">
            <w:r w:rsidRPr="00E412FF">
              <w:rPr>
                <w:rStyle w:val="Hyperlink"/>
                <w:rFonts w:ascii="Poppins" w:hAnsi="Poppins" w:cs="Poppins"/>
                <w:noProof/>
                <w:sz w:val="18"/>
                <w:szCs w:val="18"/>
              </w:rPr>
              <w:t>5.2 Benefits realisation plan</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_Toc229391546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28</w:t>
            </w:r>
            <w:r w:rsidRPr="00E412FF">
              <w:rPr>
                <w:rFonts w:ascii="Poppins" w:hAnsi="Poppins" w:cs="Poppins"/>
                <w:noProof/>
                <w:webHidden/>
                <w:sz w:val="18"/>
                <w:szCs w:val="18"/>
              </w:rPr>
              <w:fldChar w:fldCharType="end"/>
            </w:r>
          </w:hyperlink>
        </w:p>
        <w:p w:rsidRPr="00E412FF" w:rsidR="00E412FF" w:rsidP="00E412FF" w:rsidRDefault="00E412FF" w14:paraId="6F198214" w14:textId="35285945">
          <w:pPr>
            <w:pStyle w:val="TOC2"/>
            <w:spacing w:before="0" w:line="280" w:lineRule="exact"/>
            <w:rPr>
              <w:rFonts w:ascii="Poppins" w:hAnsi="Poppins" w:cs="Poppins"/>
              <w:noProof/>
              <w:kern w:val="2"/>
              <w:sz w:val="18"/>
              <w:szCs w:val="18"/>
              <w:lang w:val="en-GB" w:eastAsia="en-GB"/>
              <w14:ligatures w14:val="standardContextual"/>
            </w:rPr>
          </w:pPr>
          <w:hyperlink w:history="1" w:anchor="_Toc229391547">
            <w:r w:rsidRPr="00E412FF">
              <w:rPr>
                <w:rStyle w:val="Hyperlink"/>
                <w:rFonts w:ascii="Poppins" w:hAnsi="Poppins" w:cs="Poppins"/>
                <w:noProof/>
                <w:sz w:val="18"/>
                <w:szCs w:val="18"/>
              </w:rPr>
              <w:t>5.3 Clinical and medicines governance</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_Toc229391547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28</w:t>
            </w:r>
            <w:r w:rsidRPr="00E412FF">
              <w:rPr>
                <w:rFonts w:ascii="Poppins" w:hAnsi="Poppins" w:cs="Poppins"/>
                <w:noProof/>
                <w:webHidden/>
                <w:sz w:val="18"/>
                <w:szCs w:val="18"/>
              </w:rPr>
              <w:fldChar w:fldCharType="end"/>
            </w:r>
          </w:hyperlink>
        </w:p>
        <w:p w:rsidRPr="00E412FF" w:rsidR="00E412FF" w:rsidP="00E412FF" w:rsidRDefault="00E412FF" w14:paraId="40A030B4" w14:textId="4D28349B">
          <w:pPr>
            <w:pStyle w:val="TOC2"/>
            <w:spacing w:before="0" w:line="280" w:lineRule="exact"/>
            <w:rPr>
              <w:rFonts w:ascii="Poppins" w:hAnsi="Poppins" w:cs="Poppins"/>
              <w:noProof/>
              <w:kern w:val="2"/>
              <w:sz w:val="18"/>
              <w:szCs w:val="18"/>
              <w:lang w:val="en-GB" w:eastAsia="en-GB"/>
              <w14:ligatures w14:val="standardContextual"/>
            </w:rPr>
          </w:pPr>
          <w:hyperlink w:history="1" w:anchor="_Toc229391548">
            <w:r w:rsidRPr="00E412FF">
              <w:rPr>
                <w:rStyle w:val="Hyperlink"/>
                <w:rFonts w:ascii="Poppins" w:hAnsi="Poppins" w:cs="Poppins"/>
                <w:noProof/>
                <w:sz w:val="18"/>
                <w:szCs w:val="18"/>
              </w:rPr>
              <w:t>5.4 Digital, estates and equipment</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_Toc229391548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29</w:t>
            </w:r>
            <w:r w:rsidRPr="00E412FF">
              <w:rPr>
                <w:rFonts w:ascii="Poppins" w:hAnsi="Poppins" w:cs="Poppins"/>
                <w:noProof/>
                <w:webHidden/>
                <w:sz w:val="18"/>
                <w:szCs w:val="18"/>
              </w:rPr>
              <w:fldChar w:fldCharType="end"/>
            </w:r>
          </w:hyperlink>
        </w:p>
        <w:p w:rsidRPr="00E412FF" w:rsidR="00E412FF" w:rsidP="00E412FF" w:rsidRDefault="00E412FF" w14:paraId="5C79318C" w14:textId="6093818E">
          <w:pPr>
            <w:pStyle w:val="TOC2"/>
            <w:spacing w:before="0" w:line="280" w:lineRule="exact"/>
            <w:rPr>
              <w:rFonts w:ascii="Poppins" w:hAnsi="Poppins" w:cs="Poppins"/>
              <w:noProof/>
              <w:kern w:val="2"/>
              <w:sz w:val="18"/>
              <w:szCs w:val="18"/>
              <w:lang w:val="en-GB" w:eastAsia="en-GB"/>
              <w14:ligatures w14:val="standardContextual"/>
            </w:rPr>
          </w:pPr>
          <w:hyperlink w:history="1" w:anchor="_Toc229391549">
            <w:r w:rsidRPr="00E412FF">
              <w:rPr>
                <w:rStyle w:val="Hyperlink"/>
                <w:rFonts w:ascii="Poppins" w:hAnsi="Poppins" w:cs="Poppins"/>
                <w:noProof/>
                <w:sz w:val="18"/>
                <w:szCs w:val="18"/>
              </w:rPr>
              <w:t>5.5 Equality, data and regulatory standards</w:t>
            </w:r>
            <w:r w:rsidRPr="00E412FF">
              <w:rPr>
                <w:rFonts w:ascii="Poppins" w:hAnsi="Poppins" w:cs="Poppins"/>
                <w:noProof/>
                <w:webHidden/>
                <w:sz w:val="18"/>
                <w:szCs w:val="18"/>
              </w:rPr>
              <w:tab/>
            </w:r>
            <w:r w:rsidRPr="00E412FF">
              <w:rPr>
                <w:rFonts w:ascii="Poppins" w:hAnsi="Poppins" w:cs="Poppins"/>
                <w:noProof/>
                <w:webHidden/>
                <w:sz w:val="18"/>
                <w:szCs w:val="18"/>
              </w:rPr>
              <w:fldChar w:fldCharType="begin"/>
            </w:r>
            <w:r w:rsidRPr="00E412FF">
              <w:rPr>
                <w:rFonts w:ascii="Poppins" w:hAnsi="Poppins" w:cs="Poppins"/>
                <w:noProof/>
                <w:webHidden/>
                <w:sz w:val="18"/>
                <w:szCs w:val="18"/>
              </w:rPr>
              <w:instrText xml:space="preserve"> PAGEREF _Toc229391549 \h </w:instrText>
            </w:r>
            <w:r w:rsidRPr="00E412FF">
              <w:rPr>
                <w:rFonts w:ascii="Poppins" w:hAnsi="Poppins" w:cs="Poppins"/>
                <w:noProof/>
                <w:webHidden/>
                <w:sz w:val="18"/>
                <w:szCs w:val="18"/>
              </w:rPr>
            </w:r>
            <w:r w:rsidRPr="00E412FF">
              <w:rPr>
                <w:rFonts w:ascii="Poppins" w:hAnsi="Poppins" w:cs="Poppins"/>
                <w:noProof/>
                <w:webHidden/>
                <w:sz w:val="18"/>
                <w:szCs w:val="18"/>
              </w:rPr>
              <w:fldChar w:fldCharType="separate"/>
            </w:r>
            <w:r w:rsidRPr="00E412FF">
              <w:rPr>
                <w:rFonts w:ascii="Poppins" w:hAnsi="Poppins" w:cs="Poppins"/>
                <w:noProof/>
                <w:webHidden/>
                <w:sz w:val="18"/>
                <w:szCs w:val="18"/>
              </w:rPr>
              <w:t>29</w:t>
            </w:r>
            <w:r w:rsidRPr="00E412FF">
              <w:rPr>
                <w:rFonts w:ascii="Poppins" w:hAnsi="Poppins" w:cs="Poppins"/>
                <w:noProof/>
                <w:webHidden/>
                <w:sz w:val="18"/>
                <w:szCs w:val="18"/>
              </w:rPr>
              <w:fldChar w:fldCharType="end"/>
            </w:r>
          </w:hyperlink>
        </w:p>
        <w:p w:rsidRPr="00E412FF" w:rsidR="00E412FF" w:rsidP="00E412FF" w:rsidRDefault="00E412FF" w14:paraId="306E9EA1" w14:textId="00AD0AD1">
          <w:pPr>
            <w:pStyle w:val="TOC1"/>
            <w:spacing w:before="0" w:line="280" w:lineRule="exact"/>
            <w:rPr>
              <w:b w:val="0"/>
              <w:bCs w:val="0"/>
              <w:color w:val="auto"/>
              <w:kern w:val="2"/>
              <w:lang w:val="en-GB" w:eastAsia="en-GB"/>
              <w14:ligatures w14:val="standardContextual"/>
            </w:rPr>
          </w:pPr>
          <w:hyperlink w:history="1" w:anchor="_Toc229391550">
            <w:r w:rsidRPr="00E412FF">
              <w:rPr>
                <w:rStyle w:val="Hyperlink"/>
              </w:rPr>
              <w:t>Checklist for business plan development</w:t>
            </w:r>
            <w:r w:rsidRPr="00E412FF">
              <w:rPr>
                <w:webHidden/>
              </w:rPr>
              <w:tab/>
            </w:r>
            <w:r w:rsidRPr="00E412FF">
              <w:rPr>
                <w:webHidden/>
              </w:rPr>
              <w:fldChar w:fldCharType="begin"/>
            </w:r>
            <w:r w:rsidRPr="00E412FF">
              <w:rPr>
                <w:webHidden/>
              </w:rPr>
              <w:instrText xml:space="preserve"> PAGEREF _Toc229391550 \h </w:instrText>
            </w:r>
            <w:r w:rsidRPr="00E412FF">
              <w:rPr>
                <w:webHidden/>
              </w:rPr>
            </w:r>
            <w:r w:rsidRPr="00E412FF">
              <w:rPr>
                <w:webHidden/>
              </w:rPr>
              <w:fldChar w:fldCharType="separate"/>
            </w:r>
            <w:r w:rsidRPr="00E412FF">
              <w:rPr>
                <w:webHidden/>
              </w:rPr>
              <w:t>32</w:t>
            </w:r>
            <w:r w:rsidRPr="00E412FF">
              <w:rPr>
                <w:webHidden/>
              </w:rPr>
              <w:fldChar w:fldCharType="end"/>
            </w:r>
          </w:hyperlink>
        </w:p>
        <w:p w:rsidRPr="00E412FF" w:rsidR="00E412FF" w:rsidP="00E412FF" w:rsidRDefault="00E412FF" w14:paraId="1EC84701" w14:textId="40C94F95">
          <w:pPr>
            <w:pStyle w:val="TOC1"/>
            <w:spacing w:before="0" w:line="280" w:lineRule="exact"/>
            <w:rPr>
              <w:b w:val="0"/>
              <w:bCs w:val="0"/>
              <w:color w:val="auto"/>
              <w:kern w:val="2"/>
              <w:lang w:val="en-GB" w:eastAsia="en-GB"/>
              <w14:ligatures w14:val="standardContextual"/>
            </w:rPr>
          </w:pPr>
          <w:hyperlink w:history="1" w:anchor="_Toc229391551">
            <w:r w:rsidRPr="00E412FF">
              <w:rPr>
                <w:rStyle w:val="Hyperlink"/>
              </w:rPr>
              <w:t>Appendix 1. RACI in relation to stakeholders</w:t>
            </w:r>
            <w:r w:rsidRPr="00E412FF">
              <w:rPr>
                <w:webHidden/>
              </w:rPr>
              <w:tab/>
            </w:r>
            <w:r w:rsidRPr="00E412FF">
              <w:rPr>
                <w:webHidden/>
              </w:rPr>
              <w:fldChar w:fldCharType="begin"/>
            </w:r>
            <w:r w:rsidRPr="00E412FF">
              <w:rPr>
                <w:webHidden/>
              </w:rPr>
              <w:instrText xml:space="preserve"> PAGEREF _Toc229391551 \h </w:instrText>
            </w:r>
            <w:r w:rsidRPr="00E412FF">
              <w:rPr>
                <w:webHidden/>
              </w:rPr>
            </w:r>
            <w:r w:rsidRPr="00E412FF">
              <w:rPr>
                <w:webHidden/>
              </w:rPr>
              <w:fldChar w:fldCharType="separate"/>
            </w:r>
            <w:r w:rsidRPr="00E412FF">
              <w:rPr>
                <w:webHidden/>
              </w:rPr>
              <w:t>35</w:t>
            </w:r>
            <w:r w:rsidRPr="00E412FF">
              <w:rPr>
                <w:webHidden/>
              </w:rPr>
              <w:fldChar w:fldCharType="end"/>
            </w:r>
          </w:hyperlink>
        </w:p>
        <w:p w:rsidRPr="00E412FF" w:rsidR="00E412FF" w:rsidP="00E412FF" w:rsidRDefault="00E412FF" w14:paraId="0458B3E7" w14:textId="1F1EBF40">
          <w:pPr>
            <w:pStyle w:val="TOC1"/>
            <w:spacing w:before="0" w:line="280" w:lineRule="exact"/>
            <w:rPr>
              <w:b w:val="0"/>
              <w:bCs w:val="0"/>
              <w:color w:val="auto"/>
              <w:kern w:val="2"/>
              <w:lang w:val="en-GB" w:eastAsia="en-GB"/>
              <w14:ligatures w14:val="standardContextual"/>
            </w:rPr>
          </w:pPr>
          <w:hyperlink w:history="1" w:anchor="_Toc229391552">
            <w:r w:rsidRPr="00E412FF">
              <w:rPr>
                <w:rStyle w:val="Hyperlink"/>
              </w:rPr>
              <w:t>Appendix 2. Likely patient numbers accessing the service</w:t>
            </w:r>
            <w:r w:rsidRPr="00E412FF">
              <w:rPr>
                <w:webHidden/>
              </w:rPr>
              <w:tab/>
            </w:r>
            <w:r w:rsidRPr="00E412FF">
              <w:rPr>
                <w:webHidden/>
              </w:rPr>
              <w:fldChar w:fldCharType="begin"/>
            </w:r>
            <w:r w:rsidRPr="00E412FF">
              <w:rPr>
                <w:webHidden/>
              </w:rPr>
              <w:instrText xml:space="preserve"> PAGEREF _Toc229391552 \h </w:instrText>
            </w:r>
            <w:r w:rsidRPr="00E412FF">
              <w:rPr>
                <w:webHidden/>
              </w:rPr>
            </w:r>
            <w:r w:rsidRPr="00E412FF">
              <w:rPr>
                <w:webHidden/>
              </w:rPr>
              <w:fldChar w:fldCharType="separate"/>
            </w:r>
            <w:r w:rsidRPr="00E412FF">
              <w:rPr>
                <w:webHidden/>
              </w:rPr>
              <w:t>36</w:t>
            </w:r>
            <w:r w:rsidRPr="00E412FF">
              <w:rPr>
                <w:webHidden/>
              </w:rPr>
              <w:fldChar w:fldCharType="end"/>
            </w:r>
          </w:hyperlink>
        </w:p>
        <w:p w:rsidRPr="00E412FF" w:rsidR="00E412FF" w:rsidP="00E412FF" w:rsidRDefault="00E412FF" w14:paraId="59FA63C8" w14:textId="67726710">
          <w:pPr>
            <w:pStyle w:val="TOC1"/>
            <w:spacing w:before="0" w:line="280" w:lineRule="exact"/>
            <w:rPr>
              <w:b w:val="0"/>
              <w:bCs w:val="0"/>
              <w:color w:val="auto"/>
              <w:kern w:val="2"/>
              <w:lang w:val="en-GB" w:eastAsia="en-GB"/>
              <w14:ligatures w14:val="standardContextual"/>
            </w:rPr>
          </w:pPr>
          <w:hyperlink w:history="1" w:anchor="_Toc229391553">
            <w:r w:rsidRPr="00E412FF">
              <w:rPr>
                <w:rStyle w:val="Hyperlink"/>
              </w:rPr>
              <w:t>Appendix 3. Dosing, adverse event mitigation and management considerations</w:t>
            </w:r>
            <w:r w:rsidRPr="00E412FF">
              <w:rPr>
                <w:rStyle w:val="Hyperlink"/>
                <w:rFonts w:eastAsia="Times New Roman"/>
              </w:rPr>
              <w:t xml:space="preserve"> </w:t>
            </w:r>
            <w:r w:rsidRPr="00E412FF">
              <w:rPr>
                <w:rStyle w:val="Hyperlink"/>
              </w:rPr>
              <w:t>(see Tzield SmPC for full details)</w:t>
            </w:r>
            <w:r w:rsidRPr="00E412FF">
              <w:rPr>
                <w:webHidden/>
              </w:rPr>
              <w:tab/>
            </w:r>
            <w:r w:rsidRPr="00E412FF">
              <w:rPr>
                <w:webHidden/>
              </w:rPr>
              <w:fldChar w:fldCharType="begin"/>
            </w:r>
            <w:r w:rsidRPr="00E412FF">
              <w:rPr>
                <w:webHidden/>
              </w:rPr>
              <w:instrText xml:space="preserve"> PAGEREF _Toc229391553 \h </w:instrText>
            </w:r>
            <w:r w:rsidRPr="00E412FF">
              <w:rPr>
                <w:webHidden/>
              </w:rPr>
            </w:r>
            <w:r w:rsidRPr="00E412FF">
              <w:rPr>
                <w:webHidden/>
              </w:rPr>
              <w:fldChar w:fldCharType="separate"/>
            </w:r>
            <w:r w:rsidRPr="00E412FF">
              <w:rPr>
                <w:webHidden/>
              </w:rPr>
              <w:t>38</w:t>
            </w:r>
            <w:r w:rsidRPr="00E412FF">
              <w:rPr>
                <w:webHidden/>
              </w:rPr>
              <w:fldChar w:fldCharType="end"/>
            </w:r>
          </w:hyperlink>
        </w:p>
        <w:p w:rsidRPr="00E412FF" w:rsidR="00E412FF" w:rsidP="00E412FF" w:rsidRDefault="00E412FF" w14:paraId="75D2D8B4" w14:textId="3F59E721">
          <w:pPr>
            <w:pStyle w:val="TOC1"/>
            <w:spacing w:before="0" w:line="280" w:lineRule="exact"/>
            <w:rPr>
              <w:b w:val="0"/>
              <w:bCs w:val="0"/>
              <w:color w:val="auto"/>
              <w:kern w:val="2"/>
              <w:lang w:val="en-GB" w:eastAsia="en-GB"/>
              <w14:ligatures w14:val="standardContextual"/>
            </w:rPr>
          </w:pPr>
          <w:hyperlink w:history="1" w:anchor="_Toc229391554">
            <w:r w:rsidRPr="00E412FF">
              <w:rPr>
                <w:rStyle w:val="Hyperlink"/>
              </w:rPr>
              <w:t>Appendix 4. Preparation, storage and stability of teplizumab</w:t>
            </w:r>
            <w:r w:rsidRPr="00E412FF">
              <w:rPr>
                <w:webHidden/>
              </w:rPr>
              <w:tab/>
            </w:r>
            <w:r w:rsidRPr="00E412FF">
              <w:rPr>
                <w:webHidden/>
              </w:rPr>
              <w:fldChar w:fldCharType="begin"/>
            </w:r>
            <w:r w:rsidRPr="00E412FF">
              <w:rPr>
                <w:webHidden/>
              </w:rPr>
              <w:instrText xml:space="preserve"> PAGEREF _Toc229391554 \h </w:instrText>
            </w:r>
            <w:r w:rsidRPr="00E412FF">
              <w:rPr>
                <w:webHidden/>
              </w:rPr>
            </w:r>
            <w:r w:rsidRPr="00E412FF">
              <w:rPr>
                <w:webHidden/>
              </w:rPr>
              <w:fldChar w:fldCharType="separate"/>
            </w:r>
            <w:r w:rsidRPr="00E412FF">
              <w:rPr>
                <w:webHidden/>
              </w:rPr>
              <w:t>40</w:t>
            </w:r>
            <w:r w:rsidRPr="00E412FF">
              <w:rPr>
                <w:webHidden/>
              </w:rPr>
              <w:fldChar w:fldCharType="end"/>
            </w:r>
          </w:hyperlink>
        </w:p>
        <w:p w:rsidRPr="00E412FF" w:rsidR="00E412FF" w:rsidP="00E412FF" w:rsidRDefault="00E412FF" w14:paraId="34D0648E" w14:textId="07BC1929">
          <w:pPr>
            <w:pStyle w:val="TOC1"/>
            <w:spacing w:before="0" w:line="280" w:lineRule="exact"/>
            <w:rPr>
              <w:b w:val="0"/>
              <w:bCs w:val="0"/>
              <w:color w:val="auto"/>
              <w:kern w:val="2"/>
              <w:lang w:val="en-GB" w:eastAsia="en-GB"/>
              <w14:ligatures w14:val="standardContextual"/>
            </w:rPr>
          </w:pPr>
          <w:hyperlink w:history="1" w:anchor="_Toc229391555">
            <w:r w:rsidRPr="00E412FF">
              <w:rPr>
                <w:rStyle w:val="Hyperlink"/>
              </w:rPr>
              <w:t>Appendix 5. Infusion service cost</w:t>
            </w:r>
            <w:r w:rsidRPr="00E412FF">
              <w:rPr>
                <w:webHidden/>
              </w:rPr>
              <w:tab/>
            </w:r>
            <w:r w:rsidRPr="00E412FF">
              <w:rPr>
                <w:webHidden/>
              </w:rPr>
              <w:fldChar w:fldCharType="begin"/>
            </w:r>
            <w:r w:rsidRPr="00E412FF">
              <w:rPr>
                <w:webHidden/>
              </w:rPr>
              <w:instrText xml:space="preserve"> PAGEREF _Toc229391555 \h </w:instrText>
            </w:r>
            <w:r w:rsidRPr="00E412FF">
              <w:rPr>
                <w:webHidden/>
              </w:rPr>
            </w:r>
            <w:r w:rsidRPr="00E412FF">
              <w:rPr>
                <w:webHidden/>
              </w:rPr>
              <w:fldChar w:fldCharType="separate"/>
            </w:r>
            <w:r w:rsidRPr="00E412FF">
              <w:rPr>
                <w:webHidden/>
              </w:rPr>
              <w:t>41</w:t>
            </w:r>
            <w:r w:rsidRPr="00E412FF">
              <w:rPr>
                <w:webHidden/>
              </w:rPr>
              <w:fldChar w:fldCharType="end"/>
            </w:r>
          </w:hyperlink>
        </w:p>
        <w:p w:rsidRPr="00E412FF" w:rsidR="00E412FF" w:rsidP="00E412FF" w:rsidRDefault="00E412FF" w14:paraId="39AE7C78" w14:textId="56C6148F">
          <w:pPr>
            <w:pStyle w:val="TOC1"/>
            <w:spacing w:before="0" w:line="280" w:lineRule="exact"/>
            <w:rPr>
              <w:b w:val="0"/>
              <w:bCs w:val="0"/>
              <w:color w:val="auto"/>
              <w:kern w:val="2"/>
              <w:lang w:val="en-GB" w:eastAsia="en-GB"/>
              <w14:ligatures w14:val="standardContextual"/>
            </w:rPr>
          </w:pPr>
          <w:hyperlink w:history="1" w:anchor="_Toc229391556">
            <w:r w:rsidRPr="00E412FF">
              <w:rPr>
                <w:rStyle w:val="Hyperlink"/>
              </w:rPr>
              <w:t>REFERENCES</w:t>
            </w:r>
            <w:r w:rsidRPr="00E412FF">
              <w:rPr>
                <w:webHidden/>
              </w:rPr>
              <w:tab/>
            </w:r>
            <w:r w:rsidRPr="00E412FF">
              <w:rPr>
                <w:webHidden/>
              </w:rPr>
              <w:fldChar w:fldCharType="begin"/>
            </w:r>
            <w:r w:rsidRPr="00E412FF">
              <w:rPr>
                <w:webHidden/>
              </w:rPr>
              <w:instrText xml:space="preserve"> PAGEREF _Toc229391556 \h </w:instrText>
            </w:r>
            <w:r w:rsidRPr="00E412FF">
              <w:rPr>
                <w:webHidden/>
              </w:rPr>
            </w:r>
            <w:r w:rsidRPr="00E412FF">
              <w:rPr>
                <w:webHidden/>
              </w:rPr>
              <w:fldChar w:fldCharType="separate"/>
            </w:r>
            <w:r w:rsidRPr="00E412FF">
              <w:rPr>
                <w:webHidden/>
              </w:rPr>
              <w:t>45</w:t>
            </w:r>
            <w:r w:rsidRPr="00E412FF">
              <w:rPr>
                <w:webHidden/>
              </w:rPr>
              <w:fldChar w:fldCharType="end"/>
            </w:r>
          </w:hyperlink>
        </w:p>
        <w:p w:rsidRPr="00E412FF" w:rsidR="00E412FF" w:rsidP="00E412FF" w:rsidRDefault="00E412FF" w14:paraId="75E9DC1C" w14:textId="5A6F33A7">
          <w:pPr>
            <w:pStyle w:val="TOC1"/>
            <w:spacing w:before="0" w:line="280" w:lineRule="exact"/>
            <w:rPr>
              <w:b w:val="0"/>
              <w:bCs w:val="0"/>
              <w:color w:val="auto"/>
              <w:kern w:val="2"/>
              <w:lang w:val="en-GB" w:eastAsia="en-GB"/>
              <w14:ligatures w14:val="standardContextual"/>
            </w:rPr>
          </w:pPr>
          <w:hyperlink w:history="1" w:anchor="_Toc229391557">
            <w:r w:rsidRPr="00E412FF">
              <w:rPr>
                <w:rStyle w:val="Hyperlink"/>
              </w:rPr>
              <w:t>PRESCRIBING INFORMATION</w:t>
            </w:r>
            <w:r w:rsidRPr="00E412FF">
              <w:rPr>
                <w:webHidden/>
              </w:rPr>
              <w:tab/>
            </w:r>
            <w:r w:rsidRPr="00E412FF">
              <w:rPr>
                <w:webHidden/>
              </w:rPr>
              <w:fldChar w:fldCharType="begin"/>
            </w:r>
            <w:r w:rsidRPr="00E412FF">
              <w:rPr>
                <w:webHidden/>
              </w:rPr>
              <w:instrText xml:space="preserve"> PAGEREF _Toc229391557 \h </w:instrText>
            </w:r>
            <w:r w:rsidRPr="00E412FF">
              <w:rPr>
                <w:webHidden/>
              </w:rPr>
            </w:r>
            <w:r w:rsidRPr="00E412FF">
              <w:rPr>
                <w:webHidden/>
              </w:rPr>
              <w:fldChar w:fldCharType="separate"/>
            </w:r>
            <w:r w:rsidRPr="00E412FF">
              <w:rPr>
                <w:webHidden/>
              </w:rPr>
              <w:t>48</w:t>
            </w:r>
            <w:r w:rsidRPr="00E412FF">
              <w:rPr>
                <w:webHidden/>
              </w:rPr>
              <w:fldChar w:fldCharType="end"/>
            </w:r>
          </w:hyperlink>
        </w:p>
        <w:p w:rsidRPr="00E412FF" w:rsidR="00745535" w:rsidP="00E412FF" w:rsidRDefault="00745535" w14:paraId="2AB627F4" w14:textId="1EDCA176">
          <w:pPr>
            <w:pStyle w:val="TOC1"/>
            <w:spacing w:before="0" w:line="280" w:lineRule="exact"/>
            <w:rPr>
              <w:rFonts w:asciiTheme="minorHAnsi" w:hAnsiTheme="minorHAnsi" w:cstheme="minorBidi"/>
              <w:kern w:val="2"/>
              <w:sz w:val="24"/>
              <w:szCs w:val="24"/>
              <w:lang w:val="en-GB" w:eastAsia="en-GB"/>
              <w14:ligatures w14:val="standardContextual"/>
            </w:rPr>
          </w:pPr>
          <w:r w:rsidRPr="00E412FF">
            <w:fldChar w:fldCharType="end"/>
          </w:r>
        </w:p>
      </w:sdtContent>
    </w:sdt>
    <w:p w:rsidRPr="00C43185" w:rsidR="000379B8" w:rsidP="001B36EE" w:rsidRDefault="003B163D" w14:paraId="43B022D3" w14:textId="35145B1F">
      <w:pPr>
        <w:pStyle w:val="Heading1"/>
        <w:numPr>
          <w:ilvl w:val="0"/>
          <w:numId w:val="8"/>
        </w:numPr>
        <w:spacing w:after="120" w:line="240" w:lineRule="auto"/>
        <w:rPr>
          <w:rFonts w:ascii="Poppins" w:hAnsi="Poppins" w:cs="Poppins"/>
          <w:color w:val="0023C8"/>
        </w:rPr>
      </w:pPr>
      <w:bookmarkStart w:name="_Toc229391525" w:id="1"/>
      <w:r w:rsidRPr="00C43185">
        <w:rPr>
          <w:rFonts w:ascii="Poppins" w:hAnsi="Poppins" w:cs="Poppins"/>
          <w:color w:val="0023C8"/>
        </w:rPr>
        <w:t>Executive Summary</w:t>
      </w:r>
      <w:bookmarkEnd w:id="1"/>
    </w:p>
    <w:tbl>
      <w:tblPr>
        <w:tblStyle w:val="TableGrid"/>
        <w:tblW w:w="8772" w:type="dxa"/>
        <w:tblInd w:w="-142" w:type="dxa"/>
        <w:tblBorders>
          <w:insideH w:val="none" w:color="auto" w:sz="0" w:space="0"/>
          <w:insideV w:val="none" w:color="auto" w:sz="0" w:space="0"/>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Pr="00C43185" w:rsidR="00AB1AB1" w:rsidTr="000C7190" w14:paraId="0B7D9F13" w14:textId="77777777">
        <w:trPr>
          <w:trHeight w:val="4908"/>
        </w:trPr>
        <w:tc>
          <w:tcPr>
            <w:tcW w:w="8772" w:type="dxa"/>
            <w:tcBorders>
              <w:top w:val="nil"/>
              <w:left w:val="nil"/>
              <w:bottom w:val="single" w:color="0023C8" w:sz="4" w:space="0"/>
              <w:right w:val="nil"/>
            </w:tcBorders>
            <w:shd w:val="clear" w:color="auto" w:fill="E3E5ED"/>
          </w:tcPr>
          <w:p w:rsidRPr="00C43185" w:rsidR="00C6087C" w:rsidP="001B36EE" w:rsidRDefault="00C6087C" w14:paraId="056BDCB0" w14:textId="77777777">
            <w:pPr>
              <w:spacing w:after="60"/>
              <w:rPr>
                <w:rFonts w:ascii="Poppins" w:hAnsi="Poppins" w:eastAsia="Times New Roman" w:cs="Poppins"/>
                <w:b/>
                <w:i/>
                <w:iCs/>
              </w:rPr>
            </w:pPr>
            <w:r w:rsidRPr="00C43185">
              <w:rPr>
                <w:rFonts w:ascii="Poppins" w:hAnsi="Poppins" w:eastAsia="Times New Roman" w:cs="Poppins"/>
                <w:b/>
                <w:i/>
                <w:iCs/>
              </w:rPr>
              <w:t>Guidance information</w:t>
            </w:r>
          </w:p>
          <w:p w:rsidRPr="00C43185" w:rsidR="00C6087C" w:rsidP="001B36EE" w:rsidRDefault="00C6087C" w14:paraId="15FDF287" w14:textId="77777777">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An executive summary should be included at the beginning of your business case - it should be concise and usually no more than one page in length</w:t>
            </w:r>
          </w:p>
          <w:p w:rsidRPr="00C43185" w:rsidR="00C6087C" w:rsidP="001B36EE" w:rsidRDefault="00C6087C" w14:paraId="4A4DED6C" w14:textId="22DE588C">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The executive summary should summarise the entire proposal</w:t>
            </w:r>
            <w:r w:rsidRPr="00C43185" w:rsidR="00FE1692">
              <w:rPr>
                <w:rFonts w:ascii="Poppins" w:hAnsi="Poppins" w:cs="Poppins"/>
                <w:i/>
                <w:iCs/>
                <w:sz w:val="20"/>
                <w:szCs w:val="20"/>
              </w:rPr>
              <w:t>,</w:t>
            </w:r>
            <w:r w:rsidRPr="00C43185">
              <w:rPr>
                <w:rFonts w:ascii="Poppins" w:hAnsi="Poppins" w:cs="Poppins"/>
                <w:i/>
                <w:iCs/>
                <w:sz w:val="20"/>
                <w:szCs w:val="20"/>
              </w:rPr>
              <w:t xml:space="preserve"> so provide an overview as to </w:t>
            </w:r>
            <w:r w:rsidRPr="00C43185">
              <w:rPr>
                <w:rFonts w:ascii="Poppins" w:hAnsi="Poppins" w:cs="Poppins"/>
                <w:b/>
                <w:bCs/>
                <w:i/>
                <w:iCs/>
                <w:sz w:val="20"/>
                <w:szCs w:val="20"/>
              </w:rPr>
              <w:t>what</w:t>
            </w:r>
            <w:r w:rsidRPr="00C43185">
              <w:rPr>
                <w:rFonts w:ascii="Poppins" w:hAnsi="Poppins" w:cs="Poppins"/>
                <w:i/>
                <w:iCs/>
                <w:sz w:val="20"/>
                <w:szCs w:val="20"/>
              </w:rPr>
              <w:t xml:space="preserve"> the service aims to deliver and </w:t>
            </w:r>
            <w:r w:rsidRPr="00C43185">
              <w:rPr>
                <w:rFonts w:ascii="Poppins" w:hAnsi="Poppins" w:cs="Poppins"/>
                <w:b/>
                <w:bCs/>
                <w:i/>
                <w:iCs/>
                <w:sz w:val="20"/>
                <w:szCs w:val="20"/>
              </w:rPr>
              <w:t>how</w:t>
            </w:r>
            <w:r w:rsidRPr="00C43185">
              <w:rPr>
                <w:rFonts w:ascii="Poppins" w:hAnsi="Poppins" w:cs="Poppins"/>
                <w:i/>
                <w:iCs/>
                <w:sz w:val="20"/>
                <w:szCs w:val="20"/>
              </w:rPr>
              <w:t xml:space="preserve"> you will deliver it</w:t>
            </w:r>
          </w:p>
          <w:p w:rsidRPr="00C43185" w:rsidR="00C6087C" w:rsidP="001B36EE" w:rsidRDefault="00C6087C" w14:paraId="2A9A33E8" w14:textId="77777777">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Key information that should be included:</w:t>
            </w:r>
          </w:p>
          <w:p w:rsidRPr="00C43185" w:rsidR="00C6087C" w:rsidP="001B36EE" w:rsidRDefault="00C6087C" w14:paraId="78C625CB" w14:textId="0256C372">
            <w:pPr>
              <w:pStyle w:val="ListParagraph"/>
              <w:numPr>
                <w:ilvl w:val="1"/>
                <w:numId w:val="9"/>
              </w:numPr>
              <w:spacing w:after="60"/>
              <w:ind w:left="723"/>
              <w:contextualSpacing w:val="0"/>
              <w:rPr>
                <w:rFonts w:ascii="Poppins" w:hAnsi="Poppins" w:cs="Poppins"/>
                <w:i/>
                <w:iCs/>
                <w:sz w:val="19"/>
                <w:szCs w:val="19"/>
              </w:rPr>
            </w:pPr>
            <w:r w:rsidRPr="00C43185">
              <w:rPr>
                <w:rFonts w:ascii="Poppins" w:hAnsi="Poppins" w:cs="Poppins"/>
                <w:i/>
                <w:iCs/>
                <w:sz w:val="19"/>
                <w:szCs w:val="19"/>
              </w:rPr>
              <w:t>The rationale for commissioning a</w:t>
            </w:r>
            <w:r w:rsidRPr="00C43185" w:rsidR="00007BC7">
              <w:rPr>
                <w:rFonts w:ascii="Poppins" w:hAnsi="Poppins" w:cs="Poppins"/>
                <w:i/>
                <w:iCs/>
                <w:sz w:val="19"/>
                <w:szCs w:val="19"/>
              </w:rPr>
              <w:t xml:space="preserve"> teplizumab</w:t>
            </w:r>
            <w:r w:rsidRPr="00C43185">
              <w:rPr>
                <w:rFonts w:ascii="Poppins" w:hAnsi="Poppins" w:cs="Poppins"/>
                <w:i/>
                <w:iCs/>
                <w:sz w:val="19"/>
                <w:szCs w:val="19"/>
              </w:rPr>
              <w:t xml:space="preserve"> infusion service in your Trust</w:t>
            </w:r>
            <w:r w:rsidRPr="00C43185" w:rsidR="00FE1692">
              <w:rPr>
                <w:rFonts w:ascii="Poppins" w:hAnsi="Poppins" w:cs="Poppins"/>
                <w:i/>
                <w:iCs/>
                <w:sz w:val="19"/>
                <w:szCs w:val="19"/>
              </w:rPr>
              <w:t>,</w:t>
            </w:r>
            <w:r w:rsidRPr="00C43185">
              <w:rPr>
                <w:rFonts w:ascii="Poppins" w:hAnsi="Poppins" w:cs="Poppins"/>
                <w:i/>
                <w:iCs/>
                <w:sz w:val="19"/>
                <w:szCs w:val="19"/>
              </w:rPr>
              <w:t xml:space="preserve"> </w:t>
            </w:r>
            <w:r w:rsidRPr="00C43185" w:rsidR="0045647D">
              <w:rPr>
                <w:rFonts w:ascii="Poppins" w:hAnsi="Poppins" w:cs="Poppins"/>
                <w:i/>
                <w:iCs/>
                <w:sz w:val="19"/>
                <w:szCs w:val="19"/>
              </w:rPr>
              <w:t>s</w:t>
            </w:r>
            <w:r w:rsidRPr="00C43185" w:rsidR="00007777">
              <w:rPr>
                <w:rFonts w:ascii="Poppins" w:hAnsi="Poppins" w:cs="Poppins"/>
                <w:i/>
                <w:iCs/>
                <w:sz w:val="19"/>
                <w:szCs w:val="19"/>
              </w:rPr>
              <w:t>ummaris</w:t>
            </w:r>
            <w:r w:rsidRPr="00C43185" w:rsidR="0045647D">
              <w:rPr>
                <w:rFonts w:ascii="Poppins" w:hAnsi="Poppins" w:cs="Poppins"/>
                <w:i/>
                <w:iCs/>
                <w:sz w:val="19"/>
                <w:szCs w:val="19"/>
              </w:rPr>
              <w:t>ing</w:t>
            </w:r>
            <w:r w:rsidRPr="00C43185" w:rsidR="00007777">
              <w:rPr>
                <w:rFonts w:ascii="Poppins" w:hAnsi="Poppins" w:cs="Poppins"/>
                <w:i/>
                <w:iCs/>
                <w:sz w:val="19"/>
                <w:szCs w:val="19"/>
              </w:rPr>
              <w:t xml:space="preserve"> </w:t>
            </w:r>
            <w:r w:rsidRPr="00C43185" w:rsidR="002E71C9">
              <w:rPr>
                <w:rFonts w:ascii="Poppins" w:hAnsi="Poppins" w:cs="Poppins"/>
                <w:i/>
                <w:iCs/>
                <w:sz w:val="19"/>
                <w:szCs w:val="19"/>
              </w:rPr>
              <w:t>unmet</w:t>
            </w:r>
            <w:r w:rsidRPr="00C43185" w:rsidR="00007777">
              <w:rPr>
                <w:rFonts w:ascii="Poppins" w:hAnsi="Poppins" w:cs="Poppins"/>
                <w:i/>
                <w:iCs/>
                <w:sz w:val="19"/>
                <w:szCs w:val="19"/>
              </w:rPr>
              <w:t xml:space="preserve"> need</w:t>
            </w:r>
            <w:r w:rsidRPr="00C43185" w:rsidR="002E71C9">
              <w:rPr>
                <w:rFonts w:ascii="Poppins" w:hAnsi="Poppins" w:cs="Poppins"/>
                <w:i/>
                <w:iCs/>
                <w:sz w:val="19"/>
                <w:szCs w:val="19"/>
              </w:rPr>
              <w:t xml:space="preserve"> and alignment to system priorities</w:t>
            </w:r>
            <w:r w:rsidRPr="00C43185">
              <w:rPr>
                <w:rFonts w:ascii="Poppins" w:hAnsi="Poppins" w:cs="Poppins"/>
                <w:i/>
                <w:iCs/>
                <w:sz w:val="19"/>
                <w:szCs w:val="19"/>
              </w:rPr>
              <w:t xml:space="preserve"> </w:t>
            </w:r>
          </w:p>
          <w:p w:rsidRPr="00C43185" w:rsidR="00C6087C" w:rsidP="001B36EE" w:rsidRDefault="00C6087C" w14:paraId="64A4C6C5" w14:textId="6277D7A0">
            <w:pPr>
              <w:pStyle w:val="ListParagraph"/>
              <w:numPr>
                <w:ilvl w:val="1"/>
                <w:numId w:val="9"/>
              </w:numPr>
              <w:spacing w:after="60"/>
              <w:ind w:left="723"/>
              <w:contextualSpacing w:val="0"/>
              <w:rPr>
                <w:rFonts w:ascii="Poppins" w:hAnsi="Poppins" w:cs="Poppins"/>
                <w:i/>
                <w:iCs/>
                <w:sz w:val="19"/>
                <w:szCs w:val="19"/>
              </w:rPr>
            </w:pPr>
            <w:r w:rsidRPr="00C43185">
              <w:rPr>
                <w:rFonts w:ascii="Poppins" w:hAnsi="Poppins" w:cs="Poppins"/>
                <w:i/>
                <w:iCs/>
                <w:sz w:val="19"/>
                <w:szCs w:val="19"/>
              </w:rPr>
              <w:t>Details of the proposed service model and how it will be implemented including impact on existing services, workforce, governance</w:t>
            </w:r>
            <w:r w:rsidRPr="00C43185" w:rsidR="00F518C6">
              <w:rPr>
                <w:rFonts w:ascii="Poppins" w:hAnsi="Poppins" w:cs="Poppins"/>
                <w:i/>
                <w:iCs/>
                <w:sz w:val="19"/>
                <w:szCs w:val="19"/>
              </w:rPr>
              <w:t>, finance</w:t>
            </w:r>
            <w:r w:rsidRPr="00C43185">
              <w:rPr>
                <w:rFonts w:ascii="Poppins" w:hAnsi="Poppins" w:cs="Poppins"/>
                <w:i/>
                <w:iCs/>
                <w:sz w:val="19"/>
                <w:szCs w:val="19"/>
              </w:rPr>
              <w:t xml:space="preserve"> and equity of provision</w:t>
            </w:r>
          </w:p>
          <w:p w:rsidRPr="00C43185" w:rsidR="00C6087C" w:rsidP="001B36EE" w:rsidRDefault="00C6087C" w14:paraId="206A4E4F" w14:textId="77777777">
            <w:pPr>
              <w:pStyle w:val="ListParagraph"/>
              <w:numPr>
                <w:ilvl w:val="1"/>
                <w:numId w:val="9"/>
              </w:numPr>
              <w:spacing w:after="60"/>
              <w:ind w:left="723"/>
              <w:contextualSpacing w:val="0"/>
              <w:rPr>
                <w:rFonts w:ascii="Poppins" w:hAnsi="Poppins" w:cs="Poppins"/>
                <w:i/>
                <w:iCs/>
                <w:sz w:val="19"/>
                <w:szCs w:val="19"/>
              </w:rPr>
            </w:pPr>
            <w:r w:rsidRPr="00C43185">
              <w:rPr>
                <w:rFonts w:ascii="Poppins" w:hAnsi="Poppins" w:cs="Poppins"/>
                <w:i/>
                <w:iCs/>
                <w:sz w:val="19"/>
                <w:szCs w:val="19"/>
              </w:rPr>
              <w:t>How you intend to monitor performance and success within the service and demonstrate the benefits to both patients and NHS systems</w:t>
            </w:r>
          </w:p>
          <w:p w:rsidRPr="00C43185" w:rsidR="00891E89" w:rsidP="001B36EE" w:rsidRDefault="00C6087C" w14:paraId="7E0E73CE" w14:textId="33EFE696">
            <w:pPr>
              <w:spacing w:after="60"/>
              <w:rPr>
                <w:rFonts w:ascii="Poppins" w:hAnsi="Poppins" w:cs="Poppins"/>
                <w:i/>
                <w:iCs/>
              </w:rPr>
            </w:pPr>
            <w:r w:rsidRPr="00C43185">
              <w:rPr>
                <w:rFonts w:ascii="Poppins" w:hAnsi="Poppins" w:cs="Poppins"/>
                <w:i/>
                <w:iCs/>
                <w:sz w:val="20"/>
                <w:szCs w:val="20"/>
              </w:rPr>
              <w:t>It is useful to start with the vision and aims of the service and include an overarching statement that outlines the aim of the business case. Suggested headings are listed below.</w:t>
            </w:r>
          </w:p>
        </w:tc>
      </w:tr>
      <w:tr w:rsidRPr="00C43185" w:rsidR="000D3D85" w:rsidTr="00B16CC5" w14:paraId="7D68C252" w14:textId="77777777">
        <w:tc>
          <w:tcPr>
            <w:tcW w:w="8772" w:type="dxa"/>
            <w:tcBorders>
              <w:top w:val="single" w:color="0023C8" w:sz="4" w:space="0"/>
              <w:left w:val="single" w:color="0023C8" w:sz="4" w:space="0"/>
              <w:bottom w:val="single" w:color="0023C8" w:sz="4" w:space="0"/>
              <w:right w:val="single" w:color="0023C8" w:sz="4" w:space="0"/>
            </w:tcBorders>
          </w:tcPr>
          <w:p w:rsidRPr="00C43185" w:rsidR="0017674A" w:rsidP="001B36EE" w:rsidRDefault="001377C4" w14:paraId="4DA8FAB4" w14:textId="0EFF56E2">
            <w:pPr>
              <w:spacing w:after="60"/>
              <w:rPr>
                <w:rFonts w:ascii="Poppins" w:hAnsi="Poppins" w:cs="Poppins"/>
                <w:b/>
                <w:bCs/>
              </w:rPr>
            </w:pPr>
            <w:r w:rsidRPr="00C43185">
              <w:rPr>
                <w:rFonts w:ascii="Poppins" w:hAnsi="Poppins" w:cs="Poppins"/>
                <w:b/>
                <w:bCs/>
              </w:rPr>
              <w:t>The rationale for commissioning a service to deliver</w:t>
            </w:r>
            <w:r w:rsidRPr="00C43185" w:rsidR="00007BC7">
              <w:rPr>
                <w:rFonts w:ascii="Poppins" w:hAnsi="Poppins" w:cs="Poppins"/>
                <w:b/>
                <w:bCs/>
              </w:rPr>
              <w:t xml:space="preserve"> teplizumab</w:t>
            </w:r>
            <w:r w:rsidRPr="00C43185">
              <w:rPr>
                <w:rFonts w:ascii="Poppins" w:hAnsi="Poppins" w:cs="Poppins"/>
                <w:b/>
                <w:bCs/>
              </w:rPr>
              <w:t xml:space="preserve"> </w:t>
            </w:r>
            <w:r w:rsidRPr="00C43185" w:rsidR="00571B01">
              <w:rPr>
                <w:rFonts w:ascii="Poppins" w:hAnsi="Poppins" w:cs="Poppins"/>
                <w:b/>
                <w:bCs/>
              </w:rPr>
              <w:t>infusions</w:t>
            </w:r>
          </w:p>
          <w:p w:rsidRPr="00383DB2" w:rsidR="009426AF" w:rsidP="001B36EE" w:rsidRDefault="00A36CE8" w14:paraId="4F3A99C0" w14:textId="54615860">
            <w:pPr>
              <w:spacing w:after="120"/>
              <w:rPr>
                <w:rFonts w:ascii="Poppins" w:hAnsi="Poppins" w:cs="Poppins"/>
                <w:sz w:val="20"/>
                <w:szCs w:val="20"/>
              </w:rPr>
            </w:pPr>
            <w:r w:rsidRPr="00C43185">
              <w:rPr>
                <w:rFonts w:ascii="Poppins" w:hAnsi="Poppins" w:cs="Poppins"/>
                <w:sz w:val="20"/>
                <w:szCs w:val="20"/>
              </w:rPr>
              <w:t>Type 1 diabetes (T1D) is a chronic autoimmune disease in which T</w:t>
            </w:r>
            <w:r w:rsidRPr="00C43185" w:rsidR="00FE1692">
              <w:rPr>
                <w:rFonts w:ascii="Poppins" w:hAnsi="Poppins" w:cs="Poppins"/>
                <w:sz w:val="20"/>
                <w:szCs w:val="20"/>
              </w:rPr>
              <w:t xml:space="preserve"> </w:t>
            </w:r>
            <w:r w:rsidRPr="00C43185">
              <w:rPr>
                <w:rFonts w:ascii="Poppins" w:hAnsi="Poppins" w:cs="Poppins"/>
                <w:sz w:val="20"/>
                <w:szCs w:val="20"/>
              </w:rPr>
              <w:t>cells attack and destroy the insulin-producing beta cells in the pancreatic islets impacting a patient’s ability to produce insulin for metabolic control, resulting in hyperglycaemia.</w:t>
            </w:r>
            <w:r w:rsidRPr="00C43185">
              <w:rPr>
                <w:rFonts w:ascii="Poppins" w:hAnsi="Poppins" w:cs="Poppins"/>
                <w:sz w:val="20"/>
                <w:szCs w:val="20"/>
                <w:vertAlign w:val="superscript"/>
              </w:rPr>
              <w:fldChar w:fldCharType="begin">
                <w:fldData xml:space="preserve">PEVuZE5vdGU+PENpdGU+PEF1dGhvcj5EaU1lZ2xpbzwvQXV0aG9yPjxZZWFyPjIwMTg8L1llYXI+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</w:fldData>
              </w:fldChar>
            </w:r>
            <w:r w:rsidRPr="00C43185">
              <w:rPr>
                <w:rFonts w:ascii="Poppins" w:hAnsi="Poppins" w:cs="Poppins"/>
                <w:sz w:val="20"/>
                <w:szCs w:val="20"/>
                <w:vertAlign w:val="superscript"/>
              </w:rPr>
              <w:instrText xml:space="preserve"> ADDIN EN.CITE </w:instrText>
            </w:r>
            <w:r w:rsidRPr="00C43185">
              <w:rPr>
                <w:rFonts w:ascii="Poppins" w:hAnsi="Poppins" w:cs="Poppins"/>
                <w:sz w:val="20"/>
                <w:szCs w:val="20"/>
                <w:vertAlign w:val="superscript"/>
              </w:rPr>
              <w:fldChar w:fldCharType="begin">
                <w:fldData xml:space="preserve">PEVuZE5vdGU+PENpdGU+PEF1dGhvcj5EaU1lZ2xpbzwvQXV0aG9yPjxZZWFyPjIwMTg8L1llYXI+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</w:fldData>
              </w:fldChar>
            </w:r>
            <w:r w:rsidRPr="00C43185">
              <w:rPr>
                <w:rFonts w:ascii="Poppins" w:hAnsi="Poppins" w:cs="Poppins"/>
                <w:sz w:val="20"/>
                <w:szCs w:val="20"/>
                <w:vertAlign w:val="superscript"/>
              </w:rPr>
              <w:instrText xml:space="preserve"> ADDIN EN.CITE.DATA </w:instrText>
            </w:r>
            <w:r w:rsidRPr="00C43185">
              <w:rPr>
                <w:rFonts w:ascii="Poppins" w:hAnsi="Poppins" w:cs="Poppins"/>
                <w:sz w:val="20"/>
                <w:szCs w:val="20"/>
                <w:vertAlign w:val="superscript"/>
              </w:rPr>
            </w:r>
            <w:r w:rsidRPr="00C43185">
              <w:rPr>
                <w:rFonts w:ascii="Poppins" w:hAnsi="Poppins" w:cs="Poppins"/>
                <w:sz w:val="20"/>
                <w:szCs w:val="20"/>
                <w:vertAlign w:val="superscript"/>
              </w:rPr>
              <w:fldChar w:fldCharType="end"/>
            </w:r>
            <w:r w:rsidRPr="00C43185">
              <w:rPr>
                <w:rFonts w:ascii="Poppins" w:hAnsi="Poppins" w:cs="Poppins"/>
                <w:sz w:val="20"/>
                <w:szCs w:val="20"/>
                <w:vertAlign w:val="superscript"/>
              </w:rPr>
            </w:r>
            <w:r w:rsidRPr="00C43185">
              <w:rPr>
                <w:rFonts w:ascii="Poppins" w:hAnsi="Poppins" w:cs="Poppins"/>
                <w:sz w:val="20"/>
                <w:szCs w:val="20"/>
                <w:vertAlign w:val="superscript"/>
              </w:rPr>
              <w:fldChar w:fldCharType="separate"/>
            </w:r>
            <w:r w:rsidRPr="00C43185">
              <w:rPr>
                <w:rFonts w:ascii="Poppins" w:hAnsi="Poppins" w:cs="Poppins"/>
                <w:noProof/>
                <w:sz w:val="20"/>
                <w:szCs w:val="20"/>
                <w:vertAlign w:val="superscript"/>
              </w:rPr>
              <w:t>(DiMeglio, 2018; Pugliese, 2016)</w:t>
            </w:r>
            <w:r w:rsidRPr="00C43185">
              <w:rPr>
                <w:rFonts w:ascii="Poppins" w:hAnsi="Poppins" w:cs="Poppins"/>
                <w:sz w:val="20"/>
                <w:szCs w:val="20"/>
                <w:vertAlign w:val="superscript"/>
              </w:rPr>
              <w:fldChar w:fldCharType="end"/>
            </w:r>
            <w:r w:rsidRPr="00C43185" w:rsidR="00511E82">
              <w:rPr>
                <w:rFonts w:ascii="Poppins" w:hAnsi="Poppins" w:cs="Poppins"/>
                <w:sz w:val="20"/>
                <w:szCs w:val="20"/>
                <w:vertAlign w:val="superscript"/>
              </w:rPr>
              <w:t xml:space="preserve"> </w:t>
            </w:r>
            <w:r w:rsidRPr="00C43185" w:rsidR="00511E82">
              <w:rPr>
                <w:rFonts w:ascii="Poppins" w:hAnsi="Poppins" w:cs="Poppins"/>
                <w:sz w:val="20"/>
                <w:szCs w:val="20"/>
              </w:rPr>
              <w:t>The immune system attack starts before symptoms arise, and it is now recognised that the disease progress</w:t>
            </w:r>
            <w:r w:rsidRPr="00C43185" w:rsidR="000E1566">
              <w:rPr>
                <w:rFonts w:ascii="Poppins" w:hAnsi="Poppins" w:cs="Poppins"/>
                <w:sz w:val="20"/>
                <w:szCs w:val="20"/>
              </w:rPr>
              <w:t>es through three</w:t>
            </w:r>
            <w:r w:rsidRPr="00C43185" w:rsidR="00511E82">
              <w:rPr>
                <w:rFonts w:ascii="Poppins" w:hAnsi="Poppins" w:cs="Poppins"/>
                <w:sz w:val="20"/>
                <w:szCs w:val="20"/>
              </w:rPr>
              <w:t xml:space="preserve"> stages</w:t>
            </w:r>
            <w:r w:rsidRPr="00C43185" w:rsidR="000E1566">
              <w:rPr>
                <w:rFonts w:ascii="Poppins" w:hAnsi="Poppins" w:cs="Poppins"/>
                <w:sz w:val="20"/>
                <w:szCs w:val="20"/>
              </w:rPr>
              <w:t>,</w:t>
            </w:r>
            <w:r w:rsidRPr="00C43185" w:rsidR="00511E82">
              <w:rPr>
                <w:rFonts w:ascii="Poppins" w:hAnsi="Poppins" w:cs="Poppins"/>
                <w:sz w:val="20"/>
                <w:szCs w:val="20"/>
              </w:rPr>
              <w:t xml:space="preserve"> with Stage 1 and Stage 2 being presymptomatic</w:t>
            </w:r>
            <w:r w:rsidRPr="00C43185" w:rsidR="000E1566">
              <w:rPr>
                <w:rFonts w:ascii="Poppins" w:hAnsi="Poppins" w:cs="Poppins"/>
                <w:sz w:val="20"/>
                <w:szCs w:val="20"/>
              </w:rPr>
              <w:t>.</w:t>
            </w:r>
            <w:r w:rsidRPr="00C43185" w:rsidR="000E1566">
              <w:rPr>
                <w:rFonts w:ascii="Poppins" w:hAnsi="Poppins" w:cs="Poppin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Pr="00C43185" w:rsidR="000E1566">
              <w:rPr>
                <w:rFonts w:ascii="Poppins" w:hAnsi="Poppins" w:cs="Poppins"/>
                <w:sz w:val="20"/>
                <w:szCs w:val="20"/>
              </w:rPr>
              <w:instrText xml:space="preserve"> ADDIN EN.CITE </w:instrText>
            </w:r>
            <w:r w:rsidRPr="00C43185" w:rsidR="000E1566">
              <w:rPr>
                <w:rFonts w:ascii="Poppins" w:hAnsi="Poppins" w:cs="Poppin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Pr="00C43185" w:rsidR="000E1566">
              <w:rPr>
                <w:rFonts w:ascii="Poppins" w:hAnsi="Poppins" w:cs="Poppins"/>
                <w:sz w:val="20"/>
                <w:szCs w:val="20"/>
              </w:rPr>
              <w:instrText xml:space="preserve"> ADDIN EN.CITE.DATA </w:instrText>
            </w:r>
            <w:r w:rsidRPr="00C43185" w:rsidR="000E1566">
              <w:rPr>
                <w:rFonts w:ascii="Poppins" w:hAnsi="Poppins" w:cs="Poppins"/>
                <w:sz w:val="20"/>
                <w:szCs w:val="20"/>
              </w:rPr>
            </w:r>
            <w:r w:rsidRPr="00C43185" w:rsidR="000E1566">
              <w:rPr>
                <w:rFonts w:ascii="Poppins" w:hAnsi="Poppins" w:cs="Poppins"/>
                <w:sz w:val="20"/>
                <w:szCs w:val="20"/>
              </w:rPr>
              <w:fldChar w:fldCharType="end"/>
            </w:r>
            <w:r w:rsidRPr="00C43185" w:rsidR="000E1566">
              <w:rPr>
                <w:rFonts w:ascii="Poppins" w:hAnsi="Poppins" w:cs="Poppins"/>
                <w:sz w:val="20"/>
                <w:szCs w:val="20"/>
              </w:rPr>
            </w:r>
            <w:r w:rsidRPr="00C43185" w:rsidR="000E1566">
              <w:rPr>
                <w:rFonts w:ascii="Poppins" w:hAnsi="Poppins" w:cs="Poppins"/>
                <w:sz w:val="20"/>
                <w:szCs w:val="20"/>
              </w:rPr>
              <w:fldChar w:fldCharType="separate"/>
            </w:r>
            <w:r w:rsidRPr="00C43185" w:rsidR="000E1566">
              <w:rPr>
                <w:rFonts w:ascii="Poppins" w:hAnsi="Poppins" w:cs="Poppins"/>
                <w:noProof/>
                <w:sz w:val="20"/>
                <w:szCs w:val="20"/>
                <w:vertAlign w:val="superscript"/>
              </w:rPr>
              <w:t>(Insel, 2015)</w:t>
            </w:r>
            <w:r w:rsidRPr="00C43185" w:rsidR="000E1566">
              <w:rPr>
                <w:rFonts w:ascii="Poppins" w:hAnsi="Poppins" w:cs="Poppins"/>
                <w:sz w:val="20"/>
                <w:szCs w:val="20"/>
              </w:rPr>
              <w:fldChar w:fldCharType="end"/>
            </w:r>
            <w:r w:rsidRPr="00C43185" w:rsidR="00544168">
              <w:rPr>
                <w:rFonts w:ascii="Poppins" w:hAnsi="Poppins" w:cs="Poppins"/>
                <w:sz w:val="20"/>
                <w:szCs w:val="20"/>
              </w:rPr>
              <w:t xml:space="preserve"> P</w:t>
            </w:r>
            <w:r w:rsidR="00481952">
              <w:rPr>
                <w:rFonts w:ascii="Poppins" w:hAnsi="Poppins" w:cs="Poppins"/>
                <w:sz w:val="20"/>
                <w:szCs w:val="20"/>
              </w:rPr>
              <w:t>eople</w:t>
            </w:r>
            <w:r w:rsidRPr="00C43185" w:rsidR="00544168">
              <w:rPr>
                <w:rFonts w:ascii="Poppins" w:hAnsi="Poppins" w:cs="Poppins"/>
                <w:sz w:val="20"/>
                <w:szCs w:val="20"/>
              </w:rPr>
              <w:t xml:space="preserve"> newly diagnosed with</w:t>
            </w:r>
            <w:r w:rsidR="00387971">
              <w:rPr>
                <w:rFonts w:ascii="Poppins" w:hAnsi="Poppins" w:cs="Poppins"/>
                <w:sz w:val="20"/>
                <w:szCs w:val="20"/>
              </w:rPr>
              <w:t xml:space="preserve"> symptomatic</w:t>
            </w:r>
            <w:r w:rsidRPr="00C43185" w:rsidR="00544168">
              <w:rPr>
                <w:rFonts w:ascii="Poppins" w:hAnsi="Poppins" w:cs="Poppins"/>
                <w:sz w:val="20"/>
                <w:szCs w:val="20"/>
              </w:rPr>
              <w:t xml:space="preserve"> Stage 3 T1D need to start insulin immediately</w:t>
            </w:r>
            <w:r w:rsidRPr="00C43185" w:rsidR="00B71293">
              <w:rPr>
                <w:rFonts w:ascii="Poppins" w:hAnsi="Poppins" w:cs="Poppins"/>
                <w:sz w:val="20"/>
                <w:szCs w:val="20"/>
              </w:rPr>
              <w:t>.</w:t>
            </w:r>
            <w:r w:rsidRPr="00C43185" w:rsidR="00B71293">
              <w:rPr>
                <w:rFonts w:ascii="Poppins" w:hAnsi="Poppins" w:cs="Poppins"/>
                <w:sz w:val="20"/>
                <w:szCs w:val="20"/>
              </w:rPr>
              <w:fldChar w:fldCharType="begin"/>
            </w:r>
            <w:r w:rsidRPr="00C43185" w:rsidR="00B71293">
              <w:rPr>
                <w:rFonts w:ascii="Poppins" w:hAnsi="Poppins" w:cs="Poppins"/>
                <w:sz w:val="20"/>
                <w:szCs w:val="20"/>
              </w:rPr>
              <w:instrText xml:space="preserve"> ADDIN EN.CITE &lt;EndNote&gt;&lt;Cite&gt;&lt;Author&gt;NICE NG18&lt;/Author&gt;&lt;Year&gt;2023&lt;/Year&gt;&lt;RecNum&gt;29445&lt;/RecNum&gt;&lt;DisplayText&gt;&lt;style face="superscript"&gt;(NICE NG18, 2023)&lt;/style&gt;&lt;/DisplayText&gt;&lt;record&gt;&lt;rec-number&gt;29445&lt;/rec-number&gt;&lt;foreign-keys&gt;&lt;key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C43185" w:rsidR="00B71293">
              <w:rPr>
                <w:rFonts w:ascii="Poppins" w:hAnsi="Poppins" w:cs="Poppins"/>
                <w:sz w:val="20"/>
                <w:szCs w:val="20"/>
              </w:rPr>
              <w:fldChar w:fldCharType="separate"/>
            </w:r>
            <w:r w:rsidRPr="00C43185" w:rsidR="00B71293">
              <w:rPr>
                <w:rFonts w:ascii="Poppins" w:hAnsi="Poppins" w:cs="Poppins"/>
                <w:noProof/>
                <w:sz w:val="20"/>
                <w:szCs w:val="20"/>
                <w:vertAlign w:val="superscript"/>
              </w:rPr>
              <w:t>(NICE NG18, 2023)</w:t>
            </w:r>
            <w:r w:rsidRPr="00C43185" w:rsidR="00B71293">
              <w:rPr>
                <w:rFonts w:ascii="Poppins" w:hAnsi="Poppins" w:cs="Poppins"/>
                <w:sz w:val="20"/>
                <w:szCs w:val="20"/>
              </w:rPr>
              <w:fldChar w:fldCharType="end"/>
            </w:r>
          </w:p>
          <w:p w:rsidRPr="00C43185" w:rsidR="00A36CE8" w:rsidP="001B36EE" w:rsidRDefault="00C37315" w14:paraId="121224CA" w14:textId="73E9B791">
            <w:pPr>
              <w:rPr>
                <w:rFonts w:ascii="Poppins" w:hAnsi="Poppins" w:cs="Poppins"/>
                <w:sz w:val="20"/>
                <w:szCs w:val="20"/>
              </w:rPr>
            </w:pPr>
            <w:r w:rsidRPr="00C43185">
              <w:rPr>
                <w:rFonts w:ascii="Poppins" w:hAnsi="Poppins" w:cs="Poppins"/>
                <w:sz w:val="20"/>
                <w:szCs w:val="20"/>
              </w:rPr>
              <w:t>The lifelong need for insulin</w:t>
            </w:r>
            <w:r w:rsidR="001273FD">
              <w:rPr>
                <w:rFonts w:ascii="Poppins" w:hAnsi="Poppins" w:cs="Poppins"/>
                <w:sz w:val="20"/>
                <w:szCs w:val="20"/>
              </w:rPr>
              <w:t xml:space="preserve"> administration</w:t>
            </w:r>
            <w:r w:rsidRPr="00C43185">
              <w:rPr>
                <w:rFonts w:ascii="Poppins" w:hAnsi="Poppins" w:cs="Poppins"/>
                <w:sz w:val="20"/>
                <w:szCs w:val="20"/>
              </w:rPr>
              <w:t>, along with morbidity and long-term complications associated with T1D, places a significant burden on both the NHS and society. The NHS spends approximately £1.6 billion annually on T1D</w:t>
            </w:r>
            <w:r w:rsidRPr="00C43185" w:rsidR="00534FB9">
              <w:rPr>
                <w:rFonts w:ascii="Poppins" w:hAnsi="Poppins" w:cs="Poppins"/>
                <w:sz w:val="20"/>
                <w:szCs w:val="20"/>
              </w:rPr>
              <w:t xml:space="preserve"> (based on 2021/22 figures)</w:t>
            </w:r>
            <w:r w:rsidRPr="00C43185">
              <w:rPr>
                <w:rFonts w:ascii="Poppins" w:hAnsi="Poppins" w:cs="Poppins"/>
                <w:sz w:val="20"/>
                <w:szCs w:val="20"/>
              </w:rPr>
              <w:t>, with 25% spent to treat T1D complications.</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&lt;EndNote&gt;&lt;Cite&gt;&lt;Author&gt;Hex&lt;/Author&gt;&lt;Year&gt;2024&lt;/Year&gt;&lt;RecNum&gt;29385&lt;/RecNum&gt;&lt;DisplayText&gt;&lt;style face="superscript"&gt;(Hex, 2024)&lt;/style&gt;&lt;/DisplayText&gt;&lt;record&gt;&lt;rec-number&gt;29385&lt;/rec-number&gt;&lt;foreign-keys&gt;&lt;key app="EN" db-id="f5f5va0252p5fee95pj55es3tdereta29dxz" timestamp="1746538752" guid="b0401685-ea7f-414f-87af-b98f4102e53b"&gt;29385&lt;/key&gt;&lt;/foreign-keys&gt;&lt;ref-type name="Journal Article"&gt;17&lt;/ref-type&gt;&lt;contributors&gt;&lt;authors&gt;&lt;author&gt;Hex, Nick&lt;/author&gt;&lt;author&gt;MacDonald, Rachael&lt;/author&gt;&lt;author&gt;Pocock, Jessica&lt;/author&gt;&lt;author&gt;Uzdzinska, Barbara&lt;/author&gt;&lt;author&gt;Taylor, Matthew&lt;/author&gt;&lt;author&gt;Atkin, Marc&lt;/author&gt;&lt;author&gt;Wild, Sarah H.&lt;/author&gt;&lt;author&gt;Beba, Hannah&lt;/author&gt;&lt;author&gt;Jones, Ross&lt;/author&gt;&lt;/authors&gt;&lt;/contributors&gt;&lt;titles&gt;&lt;title&gt;Estimation of the direct health and indirect societal costs of diabetes in the UK using a cost of illness model&lt;/title&gt;&lt;secondary-title&gt;Diabetic Medicine&lt;/secondary-title&gt;&lt;/titles&gt;&lt;periodical&gt;&lt;full-title&gt;Diabetic Medicine&lt;/full-title&gt;&lt;/periodical&gt;&lt;pages&gt;e15326&lt;/pages&gt;&lt;volume&gt;41&lt;/volume&gt;&lt;number&gt;9&lt;/number&gt;&lt;dates&gt;&lt;year&gt;2024&lt;/year&gt;&lt;/dates&gt;&lt;isbn&gt;0742-3071&lt;/isbn&gt;&lt;urls&gt;&lt;related-urls&gt;&lt;url&gt;https://onlinelibrary.wiley.com/doi/abs/10.1111/dme.15326&lt;/url&gt;&lt;/related-urls&gt;&lt;/urls&gt;&lt;electronic-resource-num&gt;https://doi.org/10.1111/dme.15326&lt;/electronic-resource-num&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(Hex, 2024)</w:t>
            </w:r>
            <w:r w:rsidRPr="00C43185">
              <w:rPr>
                <w:rFonts w:ascii="Poppins" w:hAnsi="Poppins" w:cs="Poppins"/>
                <w:sz w:val="20"/>
                <w:szCs w:val="20"/>
              </w:rPr>
              <w:fldChar w:fldCharType="end"/>
            </w:r>
            <w:r w:rsidRPr="00C43185">
              <w:rPr>
                <w:rFonts w:ascii="Poppins" w:hAnsi="Poppins" w:cs="Poppins"/>
                <w:sz w:val="20"/>
                <w:szCs w:val="20"/>
              </w:rPr>
              <w:t xml:space="preserve"> Beyond treatment costs, long-term complications have significant indirect impact on a societal level. About 14% of working-age people with severe visual impairment have type 1 or type 2 diabetes, and T1D leads to more than 8,500 leg, toe, or foot amputations annually,</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&lt;EndNote&gt;&lt;Cite&gt;&lt;Author&gt;NICE CKS&lt;/Author&gt;&lt;Year&gt;2024&lt;/Year&gt;&lt;RecNum&gt;29339&lt;/RecNum&gt;&lt;DisplayText&gt;&lt;style face="superscript"&gt;(NICE CKS, 2024)&lt;/style&gt;&lt;/DisplayText&gt;&lt;record&gt;&lt;rec-number&gt;29339&lt;/rec-number&gt;&lt;foreign-keys&gt;&lt;key app="EN" db-id="f5f5va0252p5fee95pj55es3tdereta29dxz" timestamp="1746100013" guid="4460d741-f2d5-4d9e-8e68-85836f8aa187"&gt;29339&lt;/key&gt;&lt;/foreign-keys&gt;&lt;ref-type name="Electronic Article"&gt;43&lt;/ref-type&gt;&lt;contributors&gt;&lt;authors&gt;&lt;author&gt;NICE CKS,&lt;/author&gt;&lt;/authors&gt;&lt;/contributors&gt;&lt;titles&gt;&lt;title&gt;Diabetes- type 1. What are the complications?&lt;/title&gt;&lt;/titles&gt;&lt;dates&gt;&lt;year&gt;2024&lt;/year&gt;&lt;pub-dates&gt;&lt;date&gt;June 2025&lt;/date&gt;&lt;/pub-dates&gt;&lt;/dates&gt;&lt;urls&gt;&lt;related-urls&gt;&lt;url&gt;https://cks.nice.org.uk/topics/diabetes-type-1/background-information/complications&lt;/url&gt;&lt;/related-urls&gt;&lt;/urls&gt;&lt;access-date&gt;May 2025&lt;/access-date&gt;&lt;/record&gt;&lt;/Cite&gt;&lt;/EndNote&gt;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(NICE CKS, 2024)</w:t>
            </w:r>
            <w:r w:rsidRPr="00C43185">
              <w:rPr>
                <w:rFonts w:ascii="Poppins" w:hAnsi="Poppins" w:cs="Poppins"/>
                <w:sz w:val="20"/>
                <w:szCs w:val="20"/>
              </w:rPr>
              <w:fldChar w:fldCharType="end"/>
            </w:r>
            <w:r w:rsidRPr="00C43185">
              <w:rPr>
                <w:rFonts w:ascii="Poppins" w:hAnsi="Poppins" w:cs="Poppins"/>
                <w:sz w:val="20"/>
                <w:szCs w:val="20"/>
              </w:rPr>
              <w:t xml:space="preserve"> resulting in potential loss of productivity.</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&lt;EndNote&gt;&lt;Cite&gt;&lt;Author&gt;Hex&lt;/Author&gt;&lt;Year&gt;2024&lt;/Year&gt;&lt;RecNum&gt;29385&lt;/RecNum&gt;&lt;DisplayText&gt;&lt;style face="superscript"&gt;(Hex, 2024)&lt;/style&gt;&lt;/DisplayText&gt;&lt;record&gt;&lt;rec-number&gt;29385&lt;/rec-number&gt;&lt;foreign-keys&gt;&lt;key app="EN" db-id="f5f5va0252p5fee95pj55es3tdereta29dxz" timestamp="1746538752" guid="b0401685-ea7f-414f-87af-b98f4102e53b"&gt;29385&lt;/key&gt;&lt;/foreign-keys&gt;&lt;ref-type name="Journal Article"&gt;17&lt;/ref-type&gt;&lt;contributors&gt;&lt;authors&gt;&lt;author&gt;Hex, Nick&lt;/author&gt;&lt;author&gt;MacDonald, Rachael&lt;/author&gt;&lt;author&gt;Pocock, Jessica&lt;/author&gt;&lt;author&gt;Uzdzinska, Barbara&lt;/author&gt;&lt;author&gt;Taylor, Matthew&lt;/author&gt;&lt;author&gt;Atkin, Marc&lt;/author&gt;&lt;author&gt;Wild, Sarah H.&lt;/author&gt;&lt;author&gt;Beba, Hannah&lt;/author&gt;&lt;author&gt;Jones, Ross&lt;/author&gt;&lt;/authors&gt;&lt;/contributors&gt;&lt;titles&gt;&lt;title&gt;Estimation of the direct health and indirect societal costs of diabetes in the UK using a cost of illness model&lt;/title&gt;&lt;secondary-title&gt;Diabetic Medicine&lt;/secondary-title&gt;&lt;/titles&gt;&lt;periodical&gt;&lt;full-title&gt;Diabetic Medicine&lt;/full-title&gt;&lt;/periodical&gt;&lt;pages&gt;e15326&lt;/pages&gt;&lt;volume&gt;41&lt;/volume&gt;&lt;number&gt;9&lt;/number&gt;&lt;dates&gt;&lt;year&gt;2024&lt;/year&gt;&lt;/dates&gt;&lt;isbn&gt;0742-3071&lt;/isbn&gt;&lt;urls&gt;&lt;related-urls&gt;&lt;url&gt;https://onlinelibrary.wiley.com/doi/abs/10.1111/dme.15326&lt;/url&gt;&lt;/related-urls&gt;&lt;/urls&gt;&lt;electronic-resource-num&gt;https://doi.org/10.1111/dme.15326&lt;/electronic-resource-num&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(Hex, 2024)</w:t>
            </w:r>
            <w:r w:rsidRPr="00C43185">
              <w:rPr>
                <w:rFonts w:ascii="Poppins" w:hAnsi="Poppins" w:cs="Poppins"/>
                <w:sz w:val="20"/>
                <w:szCs w:val="20"/>
              </w:rPr>
              <w:fldChar w:fldCharType="end"/>
            </w:r>
            <w:r w:rsidR="00387971">
              <w:rPr>
                <w:rFonts w:ascii="Poppins" w:hAnsi="Poppins" w:cs="Poppins"/>
                <w:sz w:val="20"/>
                <w:szCs w:val="20"/>
              </w:rPr>
              <w:t xml:space="preserve"> Parents/carers of children and young people with T1D may be impacted due to needing time off work to attend appointments or reducing their working hours to help manage the condition and provide support.</w:t>
            </w:r>
          </w:p>
          <w:p w:rsidR="0045647D" w:rsidP="001B36EE" w:rsidRDefault="0045647D" w14:paraId="2AB45269" w14:textId="06BFDBD0">
            <w:pPr>
              <w:contextualSpacing/>
              <w:rPr>
                <w:rFonts w:ascii="Poppins" w:hAnsi="Poppins" w:eastAsia="Calibri" w:cs="Poppins"/>
                <w:bCs/>
                <w:sz w:val="20"/>
                <w:szCs w:val="20"/>
              </w:rPr>
            </w:pPr>
            <w:r w:rsidRPr="00C43185">
              <w:rPr>
                <w:rFonts w:ascii="Poppins" w:hAnsi="Poppins" w:eastAsia="Calibri" w:cs="Poppins"/>
                <w:bCs/>
                <w:color w:val="A6A6A6" w:themeColor="background1" w:themeShade="A6"/>
                <w:sz w:val="20"/>
                <w:szCs w:val="20"/>
              </w:rPr>
              <w:t xml:space="preserve">&lt;Insert Trust name&gt; </w:t>
            </w:r>
            <w:r w:rsidRPr="00C43185">
              <w:rPr>
                <w:rFonts w:ascii="Poppins" w:hAnsi="Poppins" w:eastAsia="Calibri" w:cs="Poppins"/>
                <w:bCs/>
                <w:sz w:val="20"/>
                <w:szCs w:val="20"/>
              </w:rPr>
              <w:t>wishes to provide a service to deliver</w:t>
            </w:r>
            <w:r w:rsidRPr="00C43185" w:rsidR="00007BC7">
              <w:rPr>
                <w:rFonts w:ascii="Poppins" w:hAnsi="Poppins" w:eastAsia="Calibri" w:cs="Poppins"/>
                <w:bCs/>
                <w:sz w:val="20"/>
                <w:szCs w:val="20"/>
              </w:rPr>
              <w:t xml:space="preserve"> teplizumab</w:t>
            </w:r>
            <w:r w:rsidRPr="00C43185" w:rsidR="004A2D75">
              <w:rPr>
                <w:rFonts w:ascii="Poppins" w:hAnsi="Poppins" w:eastAsia="Calibri" w:cs="Poppins"/>
                <w:bCs/>
                <w:sz w:val="20"/>
                <w:szCs w:val="20"/>
              </w:rPr>
              <w:t xml:space="preserve"> intravenous</w:t>
            </w:r>
            <w:r w:rsidRPr="00C43185">
              <w:rPr>
                <w:rFonts w:ascii="Poppins" w:hAnsi="Poppins" w:eastAsia="Calibri" w:cs="Poppins"/>
                <w:bCs/>
                <w:sz w:val="20"/>
                <w:szCs w:val="20"/>
              </w:rPr>
              <w:t xml:space="preserve"> infusions for delaying the onset of Stage 3 type 1 diabetes in adult and paediatric patients 8 years of age and older with Stage 2 type 1 diabetes.</w:t>
            </w:r>
            <w:r w:rsidR="00D34BB0">
              <w:rPr>
                <w:rFonts w:ascii="Poppins" w:hAnsi="Poppins" w:eastAsia="Calibri" w:cs="Poppins"/>
                <w:bCs/>
                <w:sz w:val="20"/>
                <w:szCs w:val="20"/>
              </w:rPr>
              <w:t xml:space="preserve"> Teplizumab </w:t>
            </w:r>
            <w:r w:rsidRPr="00B146B6" w:rsidR="00D34BB0">
              <w:rPr>
                <w:rFonts w:ascii="Poppins" w:hAnsi="Poppins" w:eastAsia="Times New Roman" w:cs="Poppins"/>
                <w:bCs/>
                <w:sz w:val="20"/>
                <w:szCs w:val="20"/>
              </w:rPr>
              <w:t>is the first and only approved disease modifying therapy</w:t>
            </w:r>
            <w:r w:rsidR="00D34BB0">
              <w:rPr>
                <w:rFonts w:ascii="Poppins" w:hAnsi="Poppins" w:eastAsia="Times New Roman" w:cs="Poppins"/>
                <w:bCs/>
                <w:sz w:val="20"/>
                <w:szCs w:val="20"/>
              </w:rPr>
              <w:t xml:space="preserve"> for autoimmune T1D.</w:t>
            </w:r>
            <w:r w:rsidRPr="00B146B6" w:rsidR="00D34BB0">
              <w:rPr>
                <w:rFonts w:ascii="Poppins" w:hAnsi="Poppins" w:eastAsia="Times New Roman" w:cs="Poppins"/>
                <w:bCs/>
                <w:sz w:val="20"/>
                <w:szCs w:val="20"/>
              </w:rPr>
              <w:t xml:space="preserve"> </w:t>
            </w:r>
            <w:r w:rsidRPr="00B146B6" w:rsidR="00D34BB0">
              <w:rPr>
                <w:rFonts w:ascii="Poppins" w:hAnsi="Poppins" w:eastAsia="Times New Roman"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sidR="00D34BB0">
              <w:rPr>
                <w:rFonts w:ascii="Poppins" w:hAnsi="Poppins" w:eastAsia="Times New Roman" w:cs="Poppins"/>
                <w:bCs/>
                <w:sz w:val="20"/>
                <w:szCs w:val="20"/>
              </w:rPr>
              <w:instrText xml:space="preserve"> ADDIN EN.CITE </w:instrText>
            </w:r>
            <w:r w:rsidRPr="00B146B6" w:rsidR="00D34BB0">
              <w:rPr>
                <w:rFonts w:ascii="Poppins" w:hAnsi="Poppins" w:eastAsia="Times New Roman"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sidR="00D34BB0">
              <w:rPr>
                <w:rFonts w:ascii="Poppins" w:hAnsi="Poppins" w:eastAsia="Times New Roman" w:cs="Poppins"/>
                <w:bCs/>
                <w:sz w:val="20"/>
                <w:szCs w:val="20"/>
              </w:rPr>
              <w:instrText xml:space="preserve"> ADDIN EN.CITE.DATA </w:instrText>
            </w:r>
            <w:r w:rsidRPr="00B146B6" w:rsidR="00D34BB0">
              <w:rPr>
                <w:rFonts w:ascii="Poppins" w:hAnsi="Poppins" w:eastAsia="Times New Roman" w:cs="Poppins"/>
                <w:bCs/>
                <w:sz w:val="20"/>
                <w:szCs w:val="20"/>
              </w:rPr>
            </w:r>
            <w:r w:rsidRPr="00B146B6" w:rsidR="00D34BB0">
              <w:rPr>
                <w:rFonts w:ascii="Poppins" w:hAnsi="Poppins" w:eastAsia="Times New Roman" w:cs="Poppins"/>
                <w:bCs/>
                <w:sz w:val="20"/>
                <w:szCs w:val="20"/>
              </w:rPr>
              <w:fldChar w:fldCharType="end"/>
            </w:r>
            <w:r w:rsidRPr="00B146B6" w:rsidR="00D34BB0">
              <w:rPr>
                <w:rFonts w:ascii="Poppins" w:hAnsi="Poppins" w:eastAsia="Times New Roman" w:cs="Poppins"/>
                <w:bCs/>
                <w:sz w:val="20"/>
                <w:szCs w:val="20"/>
              </w:rPr>
            </w:r>
            <w:r w:rsidRPr="00B146B6" w:rsidR="00D34BB0">
              <w:rPr>
                <w:rFonts w:ascii="Poppins" w:hAnsi="Poppins" w:eastAsia="Times New Roman" w:cs="Poppins"/>
                <w:bCs/>
                <w:sz w:val="20"/>
                <w:szCs w:val="20"/>
              </w:rPr>
              <w:fldChar w:fldCharType="separate"/>
            </w:r>
            <w:r w:rsidRPr="00B146B6" w:rsidR="00D34BB0">
              <w:rPr>
                <w:rFonts w:ascii="Poppins" w:hAnsi="Poppins" w:eastAsia="Times New Roman" w:cs="Poppins"/>
                <w:bCs/>
                <w:noProof/>
                <w:sz w:val="20"/>
                <w:szCs w:val="20"/>
                <w:vertAlign w:val="superscript"/>
              </w:rPr>
              <w:t>(Herold, 2019; Nagy, 2022; diaTriab Learn, 2025; TZIELD® SmPC)</w:t>
            </w:r>
            <w:r w:rsidRPr="00B146B6" w:rsidR="00D34BB0">
              <w:rPr>
                <w:rFonts w:ascii="Poppins" w:hAnsi="Poppins" w:eastAsia="Times New Roman" w:cs="Poppins"/>
                <w:bCs/>
                <w:sz w:val="20"/>
                <w:szCs w:val="20"/>
              </w:rPr>
              <w:fldChar w:fldCharType="end"/>
            </w:r>
            <w:r w:rsidR="00D34BB0">
              <w:rPr>
                <w:rFonts w:ascii="Poppins" w:hAnsi="Poppins" w:eastAsia="Times New Roman" w:cs="Poppins"/>
                <w:bCs/>
                <w:sz w:val="20"/>
                <w:szCs w:val="20"/>
              </w:rPr>
              <w:t xml:space="preserve"> </w:t>
            </w:r>
            <w:r w:rsidRPr="00C43185">
              <w:rPr>
                <w:rFonts w:ascii="Poppins" w:hAnsi="Poppins" w:eastAsia="Calibri" w:cs="Poppins"/>
                <w:bCs/>
                <w:sz w:val="20"/>
                <w:szCs w:val="20"/>
              </w:rPr>
              <w:t xml:space="preserve"> The addition of</w:t>
            </w:r>
            <w:r w:rsidRPr="00C43185" w:rsidR="00007BC7">
              <w:rPr>
                <w:rFonts w:ascii="Poppins" w:hAnsi="Poppins" w:eastAsia="Calibri" w:cs="Poppins"/>
                <w:bCs/>
                <w:sz w:val="20"/>
                <w:szCs w:val="20"/>
              </w:rPr>
              <w:t xml:space="preserve"> teplizumab</w:t>
            </w:r>
            <w:r w:rsidRPr="00C43185">
              <w:rPr>
                <w:rFonts w:ascii="Poppins" w:hAnsi="Poppins" w:eastAsia="Calibri" w:cs="Poppins"/>
                <w:bCs/>
                <w:sz w:val="20"/>
                <w:szCs w:val="20"/>
              </w:rPr>
              <w:t xml:space="preserve"> to current standard of care for p</w:t>
            </w:r>
            <w:r w:rsidR="00481952">
              <w:rPr>
                <w:rFonts w:ascii="Poppins" w:hAnsi="Poppins" w:eastAsia="Calibri" w:cs="Poppins"/>
                <w:bCs/>
                <w:sz w:val="20"/>
                <w:szCs w:val="20"/>
              </w:rPr>
              <w:t xml:space="preserve">eople </w:t>
            </w:r>
            <w:r w:rsidRPr="00C43185">
              <w:rPr>
                <w:rFonts w:ascii="Poppins" w:hAnsi="Poppins" w:eastAsia="Calibri" w:cs="Poppins"/>
                <w:bCs/>
                <w:sz w:val="20"/>
                <w:szCs w:val="20"/>
              </w:rPr>
              <w:t xml:space="preserve">with T1D provides an opportunity to intervene before </w:t>
            </w:r>
            <w:r w:rsidR="00481952">
              <w:rPr>
                <w:rFonts w:ascii="Poppins" w:hAnsi="Poppins" w:eastAsia="Calibri" w:cs="Poppins"/>
                <w:bCs/>
                <w:sz w:val="20"/>
                <w:szCs w:val="20"/>
              </w:rPr>
              <w:t>they</w:t>
            </w:r>
            <w:r w:rsidRPr="00C43185">
              <w:rPr>
                <w:rFonts w:ascii="Poppins" w:hAnsi="Poppins" w:eastAsia="Calibri" w:cs="Poppins"/>
                <w:bCs/>
                <w:sz w:val="20"/>
                <w:szCs w:val="20"/>
              </w:rPr>
              <w:t xml:space="preserve"> become clinically symptomatic with the condition.</w:t>
            </w:r>
            <w:r w:rsidRPr="00C43185">
              <w:rPr>
                <w:rFonts w:ascii="Poppins" w:hAnsi="Poppins" w:eastAsia="Calibri" w:cs="Poppins"/>
                <w:bC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Pr="00C43185">
              <w:rPr>
                <w:rFonts w:ascii="Poppins" w:hAnsi="Poppins" w:eastAsia="Calibri" w:cs="Poppins"/>
                <w:bCs/>
                <w:sz w:val="20"/>
                <w:szCs w:val="20"/>
              </w:rPr>
              <w:instrText xml:space="preserve"> ADDIN EN.CITE </w:instrText>
            </w:r>
            <w:r w:rsidRPr="00C43185">
              <w:rPr>
                <w:rFonts w:ascii="Poppins" w:hAnsi="Poppins" w:eastAsia="Calibri" w:cs="Poppins"/>
                <w:bCs/>
                <w:sz w:val="20"/>
                <w:szCs w:val="20"/>
              </w:rPr>
              <w:fldChar w:fldCharType="begin">
                <w:fldData xml:space="preserve">PEVuZE5vdGU+PENpdGU+PEF1dGhvcj5JbnNlbDwvQXV0aG9yPjxZZWFyPjIwMTU8L1llYXI+PFJl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</w:fldData>
              </w:fldChar>
            </w:r>
            <w:r w:rsidRPr="00C43185">
              <w:rPr>
                <w:rFonts w:ascii="Poppins" w:hAnsi="Poppins" w:eastAsia="Calibri" w:cs="Poppins"/>
                <w:bCs/>
                <w:sz w:val="20"/>
                <w:szCs w:val="20"/>
              </w:rPr>
              <w:instrText xml:space="preserve"> ADDIN EN.CITE.DATA </w:instrText>
            </w:r>
            <w:r w:rsidRPr="00C43185">
              <w:rPr>
                <w:rFonts w:ascii="Poppins" w:hAnsi="Poppins" w:eastAsia="Calibri" w:cs="Poppins"/>
                <w:bCs/>
                <w:sz w:val="20"/>
                <w:szCs w:val="20"/>
              </w:rPr>
            </w:r>
            <w:r w:rsidRPr="00C43185">
              <w:rPr>
                <w:rFonts w:ascii="Poppins" w:hAnsi="Poppins" w:eastAsia="Calibri" w:cs="Poppins"/>
                <w:bCs/>
                <w:sz w:val="20"/>
                <w:szCs w:val="20"/>
              </w:rPr>
              <w:fldChar w:fldCharType="end"/>
            </w:r>
            <w:r w:rsidRPr="00C43185">
              <w:rPr>
                <w:rFonts w:ascii="Poppins" w:hAnsi="Poppins" w:eastAsia="Calibri" w:cs="Poppins"/>
                <w:bCs/>
                <w:sz w:val="20"/>
                <w:szCs w:val="20"/>
              </w:rPr>
            </w:r>
            <w:r w:rsidRPr="00C43185">
              <w:rPr>
                <w:rFonts w:ascii="Poppins" w:hAnsi="Poppins" w:eastAsia="Calibri" w:cs="Poppins"/>
                <w:bCs/>
                <w:sz w:val="20"/>
                <w:szCs w:val="20"/>
              </w:rPr>
              <w:fldChar w:fldCharType="separate"/>
            </w:r>
            <w:r w:rsidRPr="00C43185">
              <w:rPr>
                <w:rFonts w:ascii="Poppins" w:hAnsi="Poppins" w:eastAsia="Calibri" w:cs="Poppins"/>
                <w:bCs/>
                <w:noProof/>
                <w:sz w:val="20"/>
                <w:szCs w:val="20"/>
                <w:vertAlign w:val="superscript"/>
              </w:rPr>
              <w:t>(Insel, 2015)</w:t>
            </w:r>
            <w:r w:rsidRPr="00C43185">
              <w:rPr>
                <w:rFonts w:ascii="Poppins" w:hAnsi="Poppins" w:eastAsia="Calibri" w:cs="Poppins"/>
                <w:bCs/>
                <w:sz w:val="20"/>
                <w:szCs w:val="20"/>
              </w:rPr>
              <w:fldChar w:fldCharType="end"/>
            </w:r>
            <w:r w:rsidRPr="00C43185">
              <w:rPr>
                <w:rFonts w:ascii="Poppins" w:hAnsi="Poppins" w:eastAsia="Calibri" w:cs="Poppins"/>
                <w:bCs/>
                <w:sz w:val="20"/>
                <w:szCs w:val="20"/>
              </w:rPr>
              <w:t xml:space="preserve"> Delaying disease progression offers p</w:t>
            </w:r>
            <w:r w:rsidR="00481952">
              <w:rPr>
                <w:rFonts w:ascii="Poppins" w:hAnsi="Poppins" w:eastAsia="Calibri" w:cs="Poppins"/>
                <w:bCs/>
                <w:sz w:val="20"/>
                <w:szCs w:val="20"/>
              </w:rPr>
              <w:t>eople</w:t>
            </w:r>
            <w:r w:rsidRPr="00C43185">
              <w:rPr>
                <w:rFonts w:ascii="Poppins" w:hAnsi="Poppins" w:eastAsia="Calibri" w:cs="Poppins"/>
                <w:bCs/>
                <w:sz w:val="20"/>
                <w:szCs w:val="20"/>
              </w:rPr>
              <w:t xml:space="preserve"> additional years free from the social stigma, and lifestyle disruptions associated with autoimmune TID.</w:t>
            </w:r>
            <w:r w:rsidRPr="00C43185">
              <w:rPr>
                <w:rFonts w:ascii="Poppins" w:hAnsi="Poppins" w:eastAsia="Calibri"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Ij4oSGVyb2xkLCAyMDE5OyBEeWJkYWwsIDIwMTg7IEVkZWxtYW4sIDIwMjM7IEFzaHJhZiwgMjAy
NCk8L3N0eWxlPjwvRGlzcGxheVRleHQ+PHJlY29yZD48cmVjLW51bWJlcj4yOTMyNjwvcmVjLW51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aXRlPjxBdXRob3I+RWRlbG1hbjwvQXV0aG9yPjxZZWFyPjIwMjM8L1llYXI+PFJlY051bT4yOTMy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</w:fldData>
              </w:fldChar>
            </w:r>
            <w:r w:rsidRPr="00C43185">
              <w:rPr>
                <w:rFonts w:ascii="Poppins" w:hAnsi="Poppins" w:eastAsia="Calibri" w:cs="Poppins"/>
                <w:bCs/>
                <w:sz w:val="20"/>
                <w:szCs w:val="20"/>
              </w:rPr>
              <w:instrText xml:space="preserve"> ADDIN EN.CITE </w:instrText>
            </w:r>
            <w:r w:rsidRPr="00C43185">
              <w:rPr>
                <w:rFonts w:ascii="Poppins" w:hAnsi="Poppins" w:eastAsia="Calibri"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Ij4oSGVyb2xkLCAyMDE5OyBEeWJkYWwsIDIwMTg7IEVkZWxtYW4sIDIwMjM7IEFzaHJhZiwgMjAy
NCk8L3N0eWxlPjwvRGlzcGxheVRleHQ+PHJlY29yZD48cmVjLW51bWJlcj4yOTMyNjwvcmVjLW51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aXRlPjxBdXRob3I+RWRlbG1hbjwvQXV0aG9yPjxZZWFyPjIwMjM8L1llYXI+PFJlY051bT4yOTMy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</w:fldData>
              </w:fldChar>
            </w:r>
            <w:r w:rsidRPr="00C43185">
              <w:rPr>
                <w:rFonts w:ascii="Poppins" w:hAnsi="Poppins" w:eastAsia="Calibri" w:cs="Poppins"/>
                <w:bCs/>
                <w:sz w:val="20"/>
                <w:szCs w:val="20"/>
              </w:rPr>
              <w:instrText xml:space="preserve"> ADDIN EN.CITE.DATA </w:instrText>
            </w:r>
            <w:r w:rsidRPr="00C43185">
              <w:rPr>
                <w:rFonts w:ascii="Poppins" w:hAnsi="Poppins" w:eastAsia="Calibri" w:cs="Poppins"/>
                <w:bCs/>
                <w:sz w:val="20"/>
                <w:szCs w:val="20"/>
              </w:rPr>
            </w:r>
            <w:r w:rsidRPr="00C43185">
              <w:rPr>
                <w:rFonts w:ascii="Poppins" w:hAnsi="Poppins" w:eastAsia="Calibri" w:cs="Poppins"/>
                <w:bCs/>
                <w:sz w:val="20"/>
                <w:szCs w:val="20"/>
              </w:rPr>
              <w:fldChar w:fldCharType="end"/>
            </w:r>
            <w:r w:rsidRPr="00C43185">
              <w:rPr>
                <w:rFonts w:ascii="Poppins" w:hAnsi="Poppins" w:eastAsia="Calibri" w:cs="Poppins"/>
                <w:bCs/>
                <w:sz w:val="20"/>
                <w:szCs w:val="20"/>
              </w:rPr>
            </w:r>
            <w:r w:rsidRPr="00C43185">
              <w:rPr>
                <w:rFonts w:ascii="Poppins" w:hAnsi="Poppins" w:eastAsia="Calibri" w:cs="Poppins"/>
                <w:bCs/>
                <w:sz w:val="20"/>
                <w:szCs w:val="20"/>
              </w:rPr>
              <w:fldChar w:fldCharType="separate"/>
            </w:r>
            <w:r w:rsidRPr="00C43185">
              <w:rPr>
                <w:rFonts w:ascii="Poppins" w:hAnsi="Poppins" w:eastAsia="Calibri" w:cs="Poppins"/>
                <w:bCs/>
                <w:noProof/>
                <w:sz w:val="20"/>
                <w:szCs w:val="20"/>
                <w:vertAlign w:val="superscript"/>
              </w:rPr>
              <w:t>(Herold, 2019; Dybdal, 2018; Edelman, 2023; Ashraf, 2024)</w:t>
            </w:r>
            <w:r w:rsidRPr="00C43185">
              <w:rPr>
                <w:rFonts w:ascii="Poppins" w:hAnsi="Poppins" w:eastAsia="Calibri" w:cs="Poppins"/>
                <w:bCs/>
                <w:sz w:val="20"/>
                <w:szCs w:val="20"/>
              </w:rPr>
              <w:fldChar w:fldCharType="end"/>
            </w:r>
            <w:r w:rsidRPr="00C43185">
              <w:rPr>
                <w:rFonts w:ascii="Poppins" w:hAnsi="Poppins" w:eastAsia="Calibri" w:cs="Poppins"/>
                <w:bCs/>
                <w:sz w:val="20"/>
                <w:szCs w:val="20"/>
              </w:rPr>
              <w:t xml:space="preserve"> It gives them time to prepare, by learning how to achieve optimal glycaemic control before insulin initiation,</w:t>
            </w:r>
            <w:r w:rsidRPr="00C43185">
              <w:rPr>
                <w:rFonts w:ascii="Poppins" w:hAnsi="Poppins" w:eastAsia="Calibri" w:cs="Poppins"/>
                <w:bCs/>
                <w:sz w:val="20"/>
                <w:szCs w:val="20"/>
              </w:rPr>
              <w:fldChar w:fldCharType="begin"/>
            </w:r>
            <w:r w:rsidRPr="00C43185">
              <w:rPr>
                <w:rFonts w:ascii="Poppins" w:hAnsi="Poppins" w:eastAsia="Calibri" w:cs="Poppins"/>
                <w:bCs/>
                <w:sz w:val="20"/>
                <w:szCs w:val="20"/>
              </w:rPr>
              <w:instrText xml:space="preserve"> ADDIN EN.CITE &lt;EndNote&gt;&lt;Cite&gt;&lt;Author&gt;NICE NG18&lt;/Author&gt;&lt;Year&gt;2023&lt;/Year&gt;&lt;RecNum&gt;29445&lt;/RecNum&gt;&lt;DisplayText&gt;&lt;style face="superscript"&gt;(NICE NG18, 2023; NICE NG17, 2022)&lt;/style&gt;&lt;/DisplayText&gt;&lt;record&gt;&lt;rec-number&gt;29445&lt;/rec-number&gt;&lt;foreign-keys&gt;&lt;key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2025&lt;/date&gt;&lt;/pub-dates&gt;&lt;/dates&gt;&lt;urls&gt;&lt;related-urls&gt;&lt;url&gt;www.nice.org.uk/guidance/ng18&lt;/url&gt;&lt;/related-urls&gt;&lt;/urls&gt;&lt;/record&gt;&lt;/Cite&gt;&lt;Cite&gt;&lt;Author&gt;NICE NG17&lt;/Author&gt;&lt;Year&gt;2022&lt;/Year&gt;&lt;RecNum&gt;29446&lt;/RecNum&gt;&lt;record&gt;&lt;rec-number&gt;29446&lt;/rec-number&gt;&lt;foreign-keys&gt;&lt;key app="EN" db-id="f5f5va0252p5fee95pj55es3tdereta29dxz" timestamp="1748530536" guid="c8955a3b-7005-4304-b44b-547f1548a4e6"&gt;29446&lt;/key&gt;&lt;/foreign-keys&gt;&lt;ref-type name="Electronic Article"&gt;43&lt;/ref-type&gt;&lt;contributors&gt;&lt;authors&gt;&lt;author&gt;NICE NG17,&lt;/author&gt;&lt;/authors&gt;&lt;/contributors&gt;&lt;titles&gt;&lt;title&gt;Type 1 diabetes in adults: diagnosis and management&lt;/title&gt;&lt;/titles&gt;&lt;dates&gt;&lt;year&gt;2022&lt;/year&gt;&lt;pub-dates&gt;&lt;date&gt;June 2025&lt;/date&gt;&lt;/pub-dates&gt;&lt;/dates&gt;&lt;urls&gt;&lt;related-urls&gt;&lt;url&gt;https://www.nice.org.uk/guidance/ng17&lt;/url&gt;&lt;/related-urls&gt;&lt;/urls&gt;&lt;/record&gt;&lt;/Cite&gt;&lt;/EndNote&gt;</w:instrText>
            </w:r>
            <w:r w:rsidRPr="00C43185">
              <w:rPr>
                <w:rFonts w:ascii="Poppins" w:hAnsi="Poppins" w:eastAsia="Calibri" w:cs="Poppins"/>
                <w:bCs/>
                <w:sz w:val="20"/>
                <w:szCs w:val="20"/>
              </w:rPr>
              <w:fldChar w:fldCharType="separate"/>
            </w:r>
            <w:r w:rsidRPr="00C43185">
              <w:rPr>
                <w:rFonts w:ascii="Poppins" w:hAnsi="Poppins" w:eastAsia="Calibri" w:cs="Poppins"/>
                <w:bCs/>
                <w:noProof/>
                <w:sz w:val="20"/>
                <w:szCs w:val="20"/>
                <w:vertAlign w:val="superscript"/>
              </w:rPr>
              <w:t>(NICE NG18, 2023; NICE NG17, 2022)</w:t>
            </w:r>
            <w:r w:rsidRPr="00C43185">
              <w:rPr>
                <w:rFonts w:ascii="Poppins" w:hAnsi="Poppins" w:eastAsia="Calibri" w:cs="Poppins"/>
                <w:bCs/>
                <w:sz w:val="20"/>
                <w:szCs w:val="20"/>
              </w:rPr>
              <w:fldChar w:fldCharType="end"/>
            </w:r>
            <w:r w:rsidRPr="00C43185">
              <w:rPr>
                <w:rFonts w:ascii="Poppins" w:hAnsi="Poppins" w:eastAsia="Calibri" w:cs="Poppins"/>
                <w:bCs/>
                <w:sz w:val="20"/>
                <w:szCs w:val="20"/>
              </w:rPr>
              <w:t xml:space="preserve"> and offers the potential to change the disease trajectory for p</w:t>
            </w:r>
            <w:r w:rsidR="00481952">
              <w:rPr>
                <w:rFonts w:ascii="Poppins" w:hAnsi="Poppins" w:eastAsia="Calibri" w:cs="Poppins"/>
                <w:bCs/>
                <w:sz w:val="20"/>
                <w:szCs w:val="20"/>
              </w:rPr>
              <w:t>eople</w:t>
            </w:r>
            <w:r w:rsidRPr="00C43185">
              <w:rPr>
                <w:rFonts w:ascii="Poppins" w:hAnsi="Poppins" w:eastAsia="Calibri" w:cs="Poppins"/>
                <w:bCs/>
                <w:sz w:val="20"/>
                <w:szCs w:val="20"/>
              </w:rPr>
              <w:t>.</w:t>
            </w:r>
            <w:r w:rsidRPr="00C43185">
              <w:rPr>
                <w:rFonts w:ascii="Poppins" w:hAnsi="Poppins" w:eastAsia="Calibri" w:cs="Poppins"/>
                <w:bCs/>
                <w:sz w:val="20"/>
                <w:szCs w:val="20"/>
              </w:rPr>
              <w:fldChar w:fldCharType="begin">
                <w:fldData xml:space="preserve">PEVuZE5vdGU+PENpdGU+PEF1dGhvcj5OYWd5PC9BdXRob3I+PFllYXI+MjAyMjwvWWVhcj48UmVj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</w:fldData>
              </w:fldChar>
            </w:r>
            <w:r w:rsidRPr="00C43185">
              <w:rPr>
                <w:rFonts w:ascii="Poppins" w:hAnsi="Poppins" w:eastAsia="Calibri" w:cs="Poppins"/>
                <w:bCs/>
                <w:sz w:val="20"/>
                <w:szCs w:val="20"/>
              </w:rPr>
              <w:instrText xml:space="preserve"> ADDIN EN.CITE </w:instrText>
            </w:r>
            <w:r w:rsidRPr="00C43185">
              <w:rPr>
                <w:rFonts w:ascii="Poppins" w:hAnsi="Poppins" w:eastAsia="Calibri" w:cs="Poppins"/>
                <w:bCs/>
                <w:sz w:val="20"/>
                <w:szCs w:val="20"/>
              </w:rPr>
              <w:fldChar w:fldCharType="begin">
                <w:fldData xml:space="preserve">PEVuZE5vdGU+PENpdGU+PEF1dGhvcj5OYWd5PC9BdXRob3I+PFllYXI+MjAyMjwvWWVhcj48UmVj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</w:fldData>
              </w:fldChar>
            </w:r>
            <w:r w:rsidRPr="00C43185">
              <w:rPr>
                <w:rFonts w:ascii="Poppins" w:hAnsi="Poppins" w:eastAsia="Calibri" w:cs="Poppins"/>
                <w:bCs/>
                <w:sz w:val="20"/>
                <w:szCs w:val="20"/>
              </w:rPr>
              <w:instrText xml:space="preserve"> ADDIN EN.CITE.DATA </w:instrText>
            </w:r>
            <w:r w:rsidRPr="00C43185">
              <w:rPr>
                <w:rFonts w:ascii="Poppins" w:hAnsi="Poppins" w:eastAsia="Calibri" w:cs="Poppins"/>
                <w:bCs/>
                <w:sz w:val="20"/>
                <w:szCs w:val="20"/>
              </w:rPr>
            </w:r>
            <w:r w:rsidRPr="00C43185">
              <w:rPr>
                <w:rFonts w:ascii="Poppins" w:hAnsi="Poppins" w:eastAsia="Calibri" w:cs="Poppins"/>
                <w:bCs/>
                <w:sz w:val="20"/>
                <w:szCs w:val="20"/>
              </w:rPr>
              <w:fldChar w:fldCharType="end"/>
            </w:r>
            <w:r w:rsidRPr="00C43185">
              <w:rPr>
                <w:rFonts w:ascii="Poppins" w:hAnsi="Poppins" w:eastAsia="Calibri" w:cs="Poppins"/>
                <w:bCs/>
                <w:sz w:val="20"/>
                <w:szCs w:val="20"/>
              </w:rPr>
            </w:r>
            <w:r w:rsidRPr="00C43185">
              <w:rPr>
                <w:rFonts w:ascii="Poppins" w:hAnsi="Poppins" w:eastAsia="Calibri" w:cs="Poppins"/>
                <w:bCs/>
                <w:sz w:val="20"/>
                <w:szCs w:val="20"/>
              </w:rPr>
              <w:fldChar w:fldCharType="separate"/>
            </w:r>
            <w:r w:rsidRPr="00C43185">
              <w:rPr>
                <w:rFonts w:ascii="Poppins" w:hAnsi="Poppins" w:eastAsia="Calibri" w:cs="Poppins"/>
                <w:bCs/>
                <w:noProof/>
                <w:sz w:val="20"/>
                <w:szCs w:val="20"/>
                <w:vertAlign w:val="superscript"/>
              </w:rPr>
              <w:t>(Nagy, 2022; diaTriab Learn, 2025)</w:t>
            </w:r>
            <w:r w:rsidRPr="00C43185">
              <w:rPr>
                <w:rFonts w:ascii="Poppins" w:hAnsi="Poppins" w:eastAsia="Calibri" w:cs="Poppins"/>
                <w:bCs/>
                <w:sz w:val="20"/>
                <w:szCs w:val="20"/>
              </w:rPr>
              <w:fldChar w:fldCharType="end"/>
            </w:r>
          </w:p>
          <w:p w:rsidRPr="00C43185" w:rsidR="00DD3690" w:rsidP="001B36EE" w:rsidRDefault="00DD3690" w14:paraId="526A5C78" w14:textId="7A3D0E36">
            <w:pPr>
              <w:contextualSpacing/>
              <w:rPr>
                <w:rFonts w:ascii="Poppins" w:hAnsi="Poppins" w:eastAsia="Calibri" w:cs="Poppins"/>
                <w:bCs/>
                <w:sz w:val="20"/>
                <w:szCs w:val="20"/>
              </w:rPr>
            </w:pPr>
            <w:r>
              <w:rPr>
                <w:rFonts w:ascii="Poppins" w:hAnsi="Poppins" w:eastAsia="Calibri" w:cs="Poppins"/>
                <w:bCs/>
                <w:sz w:val="20"/>
                <w:szCs w:val="20"/>
              </w:rPr>
              <w:t>P</w:t>
            </w:r>
            <w:r w:rsidR="00481952">
              <w:rPr>
                <w:rFonts w:ascii="Poppins" w:hAnsi="Poppins" w:eastAsia="Calibri" w:cs="Poppins"/>
                <w:bCs/>
                <w:sz w:val="20"/>
                <w:szCs w:val="20"/>
              </w:rPr>
              <w:t>eople</w:t>
            </w:r>
            <w:r>
              <w:rPr>
                <w:rFonts w:ascii="Poppins" w:hAnsi="Poppins" w:eastAsia="Calibri" w:cs="Poppins"/>
                <w:bCs/>
                <w:sz w:val="20"/>
                <w:szCs w:val="20"/>
              </w:rPr>
              <w:t xml:space="preserve"> treated with teplizumab are not additional to those in the overall T1D population, as they would always have developed symptomatic disease at some point, and may have presented for the first time in an emergency situation with diabetic ketoacidosis (DKA).</w:t>
            </w:r>
            <w:r>
              <w:rPr>
                <w:rFonts w:ascii="Poppins" w:hAnsi="Poppins" w:eastAsia="Calibri" w:cs="Poppins"/>
                <w:bCs/>
                <w:sz w:val="20"/>
                <w:szCs w:val="20"/>
              </w:rPr>
              <w:fldChar w:fldCharType="begin">
                <w:fldData xml:space="preserve">PEVuZE5vdGU+PENpdGU+PEF1dGhvcj5CZXNzZXI8L0F1dGhvcj48WWVhcj4yMDIyPC9ZZWFyPjxS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</w:fldData>
              </w:fldChar>
            </w:r>
            <w:r>
              <w:rPr>
                <w:rFonts w:ascii="Poppins" w:hAnsi="Poppins" w:eastAsia="Calibri" w:cs="Poppins"/>
                <w:bCs/>
                <w:sz w:val="20"/>
                <w:szCs w:val="20"/>
              </w:rPr>
              <w:instrText xml:space="preserve"> ADDIN EN.CITE </w:instrText>
            </w:r>
            <w:r>
              <w:rPr>
                <w:rFonts w:ascii="Poppins" w:hAnsi="Poppins" w:eastAsia="Calibri" w:cs="Poppins"/>
                <w:bCs/>
                <w:sz w:val="20"/>
                <w:szCs w:val="20"/>
              </w:rPr>
              <w:fldChar w:fldCharType="begin">
                <w:fldData xml:space="preserve">PEVuZE5vdGU+PENpdGU+PEF1dGhvcj5CZXNzZXI8L0F1dGhvcj48WWVhcj4yMDIyPC9ZZWFyPjxS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</w:fldData>
              </w:fldChar>
            </w:r>
            <w:r>
              <w:rPr>
                <w:rFonts w:ascii="Poppins" w:hAnsi="Poppins" w:eastAsia="Calibri" w:cs="Poppins"/>
                <w:bCs/>
                <w:sz w:val="20"/>
                <w:szCs w:val="20"/>
              </w:rPr>
              <w:instrText xml:space="preserve"> ADDIN EN.CITE.DATA </w:instrText>
            </w:r>
            <w:r>
              <w:rPr>
                <w:rFonts w:ascii="Poppins" w:hAnsi="Poppins" w:eastAsia="Calibri" w:cs="Poppins"/>
                <w:bCs/>
                <w:sz w:val="20"/>
                <w:szCs w:val="20"/>
              </w:rPr>
            </w:r>
            <w:r>
              <w:rPr>
                <w:rFonts w:ascii="Poppins" w:hAnsi="Poppins" w:eastAsia="Calibri" w:cs="Poppins"/>
                <w:bCs/>
                <w:sz w:val="20"/>
                <w:szCs w:val="20"/>
              </w:rPr>
              <w:fldChar w:fldCharType="end"/>
            </w:r>
            <w:r>
              <w:rPr>
                <w:rFonts w:ascii="Poppins" w:hAnsi="Poppins" w:eastAsia="Calibri" w:cs="Poppins"/>
                <w:bCs/>
                <w:sz w:val="20"/>
                <w:szCs w:val="20"/>
              </w:rPr>
            </w:r>
            <w:r>
              <w:rPr>
                <w:rFonts w:ascii="Poppins" w:hAnsi="Poppins" w:eastAsia="Calibri" w:cs="Poppins"/>
                <w:bCs/>
                <w:sz w:val="20"/>
                <w:szCs w:val="20"/>
              </w:rPr>
              <w:fldChar w:fldCharType="separate"/>
            </w:r>
            <w:r w:rsidRPr="00DD3690">
              <w:rPr>
                <w:rFonts w:ascii="Poppins" w:hAnsi="Poppins" w:eastAsia="Calibri" w:cs="Poppins"/>
                <w:bCs/>
                <w:noProof/>
                <w:sz w:val="20"/>
                <w:szCs w:val="20"/>
                <w:vertAlign w:val="superscript"/>
              </w:rPr>
              <w:t>(Besser, 2022)</w:t>
            </w:r>
            <w:r>
              <w:rPr>
                <w:rFonts w:ascii="Poppins" w:hAnsi="Poppins" w:eastAsia="Calibri" w:cs="Poppins"/>
                <w:bCs/>
                <w:sz w:val="20"/>
                <w:szCs w:val="20"/>
              </w:rPr>
              <w:fldChar w:fldCharType="end"/>
            </w:r>
          </w:p>
          <w:p w:rsidRPr="00C43185" w:rsidR="00534FB9" w:rsidP="001B36EE" w:rsidRDefault="00534FB9" w14:paraId="03A5E33D" w14:textId="65EC3A36">
            <w:pPr>
              <w:rPr>
                <w:rFonts w:ascii="Poppins" w:hAnsi="Poppins" w:eastAsia="Calibri" w:cs="Poppins"/>
                <w:bCs/>
                <w:sz w:val="20"/>
                <w:szCs w:val="20"/>
              </w:rPr>
            </w:pPr>
            <w:r w:rsidRPr="00C43185">
              <w:rPr>
                <w:rFonts w:ascii="Poppins" w:hAnsi="Poppins" w:eastAsia="Calibri" w:cs="Poppins"/>
                <w:bCs/>
                <w:sz w:val="20"/>
                <w:szCs w:val="20"/>
              </w:rPr>
              <w:t>Delaying the onset of autoimmune T1D aligns to key NHS priorities around prevention, productivity and population health management</w:t>
            </w:r>
            <w:r w:rsidRPr="00C43185" w:rsidR="001B25DC">
              <w:rPr>
                <w:rFonts w:ascii="Poppins" w:hAnsi="Poppins" w:eastAsia="Calibri" w:cs="Poppins"/>
                <w:bCs/>
                <w:sz w:val="20"/>
                <w:szCs w:val="20"/>
              </w:rPr>
              <w:t>:</w:t>
            </w:r>
            <w:r w:rsidRPr="00C43185" w:rsidR="001B25DC">
              <w:rPr>
                <w:rFonts w:ascii="Poppins" w:hAnsi="Poppins" w:eastAsia="Calibri" w:cs="Poppins"/>
                <w:bCs/>
                <w:sz w:val="20"/>
                <w:szCs w:val="20"/>
              </w:rPr>
              <w:fldChar w:fldCharType="begin">
                <w:fldData xml:space="preserve">PEVuZE5vdGU+PENpdGU+PEF1dGhvcj5GYWN1bHR5IG9mIFB1YmxpYyBIZWFsdGg8L0F1dGhvcj48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</w:fldData>
              </w:fldChar>
            </w:r>
            <w:r w:rsidRPr="00C43185" w:rsidR="001B25DC">
              <w:rPr>
                <w:rFonts w:ascii="Poppins" w:hAnsi="Poppins" w:eastAsia="Calibri" w:cs="Poppins"/>
                <w:bCs/>
                <w:sz w:val="20"/>
                <w:szCs w:val="20"/>
              </w:rPr>
              <w:instrText xml:space="preserve"> ADDIN EN.CITE </w:instrText>
            </w:r>
            <w:r w:rsidRPr="00C43185" w:rsidR="001B25DC">
              <w:rPr>
                <w:rFonts w:ascii="Poppins" w:hAnsi="Poppins" w:eastAsia="Calibri" w:cs="Poppins"/>
                <w:bCs/>
                <w:sz w:val="20"/>
                <w:szCs w:val="20"/>
              </w:rPr>
              <w:fldChar w:fldCharType="begin">
                <w:fldData xml:space="preserve">PEVuZE5vdGU+PENpdGU+PEF1dGhvcj5GYWN1bHR5IG9mIFB1YmxpYyBIZWFsdGg8L0F1dGhvcj48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</w:fldData>
              </w:fldChar>
            </w:r>
            <w:r w:rsidRPr="00C43185" w:rsidR="001B25DC">
              <w:rPr>
                <w:rFonts w:ascii="Poppins" w:hAnsi="Poppins" w:eastAsia="Calibri" w:cs="Poppins"/>
                <w:bCs/>
                <w:sz w:val="20"/>
                <w:szCs w:val="20"/>
              </w:rPr>
              <w:instrText xml:space="preserve"> ADDIN EN.CITE.DATA </w:instrText>
            </w:r>
            <w:r w:rsidRPr="00C43185" w:rsidR="001B25DC">
              <w:rPr>
                <w:rFonts w:ascii="Poppins" w:hAnsi="Poppins" w:eastAsia="Calibri" w:cs="Poppins"/>
                <w:bCs/>
                <w:sz w:val="20"/>
                <w:szCs w:val="20"/>
              </w:rPr>
            </w:r>
            <w:r w:rsidRPr="00C43185" w:rsidR="001B25DC">
              <w:rPr>
                <w:rFonts w:ascii="Poppins" w:hAnsi="Poppins" w:eastAsia="Calibri" w:cs="Poppins"/>
                <w:bCs/>
                <w:sz w:val="20"/>
                <w:szCs w:val="20"/>
              </w:rPr>
              <w:fldChar w:fldCharType="end"/>
            </w:r>
            <w:r w:rsidRPr="00C43185" w:rsidR="001B25DC">
              <w:rPr>
                <w:rFonts w:ascii="Poppins" w:hAnsi="Poppins" w:eastAsia="Calibri" w:cs="Poppins"/>
                <w:bCs/>
                <w:sz w:val="20"/>
                <w:szCs w:val="20"/>
              </w:rPr>
            </w:r>
            <w:r w:rsidRPr="00C43185" w:rsidR="001B25DC">
              <w:rPr>
                <w:rFonts w:ascii="Poppins" w:hAnsi="Poppins" w:eastAsia="Calibri" w:cs="Poppins"/>
                <w:bCs/>
                <w:sz w:val="20"/>
                <w:szCs w:val="20"/>
              </w:rPr>
              <w:fldChar w:fldCharType="separate"/>
            </w:r>
            <w:r w:rsidRPr="00C43185" w:rsidR="001B25DC">
              <w:rPr>
                <w:rFonts w:ascii="Poppins" w:hAnsi="Poppins" w:eastAsia="Calibri" w:cs="Poppins"/>
                <w:bCs/>
                <w:noProof/>
                <w:sz w:val="20"/>
                <w:szCs w:val="20"/>
                <w:vertAlign w:val="superscript"/>
              </w:rPr>
              <w:t>(Faculty of Public Health, 2024; UK Government, 2025; NHS England, 2025; NHS England, 2023)</w:t>
            </w:r>
            <w:r w:rsidRPr="00C43185" w:rsidR="001B25DC">
              <w:rPr>
                <w:rFonts w:ascii="Poppins" w:hAnsi="Poppins" w:eastAsia="Calibri" w:cs="Poppins"/>
                <w:bCs/>
                <w:sz w:val="20"/>
                <w:szCs w:val="20"/>
              </w:rPr>
              <w:fldChar w:fldCharType="end"/>
            </w:r>
          </w:p>
          <w:p w:rsidRPr="000C7190" w:rsidR="00534FB9" w:rsidP="001B36EE" w:rsidRDefault="00534FB9" w14:paraId="0C3EE4C3" w14:textId="4EDCAFBC">
            <w:pPr>
              <w:pStyle w:val="ListParagraph"/>
              <w:numPr>
                <w:ilvl w:val="0"/>
                <w:numId w:val="37"/>
              </w:numPr>
              <w:ind w:left="360"/>
              <w:rPr>
                <w:rFonts w:ascii="Poppins" w:hAnsi="Poppins" w:eastAsia="Calibri" w:cs="Poppins"/>
                <w:bCs/>
                <w:spacing w:val="-4"/>
                <w:sz w:val="20"/>
                <w:szCs w:val="20"/>
              </w:rPr>
            </w:pPr>
            <w:r w:rsidRPr="000C7190">
              <w:rPr>
                <w:rFonts w:ascii="Poppins" w:hAnsi="Poppins" w:eastAsia="Calibri" w:cs="Poppins"/>
                <w:bCs/>
                <w:spacing w:val="-4"/>
                <w:sz w:val="20"/>
                <w:szCs w:val="20"/>
              </w:rPr>
              <w:t>Enabling people living with T1D to prepare for the later stages of the condition for longe</w:t>
            </w:r>
            <w:r w:rsidRPr="000C7190" w:rsidR="001B25DC">
              <w:rPr>
                <w:rFonts w:ascii="Poppins" w:hAnsi="Poppins" w:eastAsia="Calibri" w:cs="Poppins"/>
                <w:bCs/>
                <w:spacing w:val="-4"/>
                <w:sz w:val="20"/>
                <w:szCs w:val="20"/>
              </w:rPr>
              <w:t>r</w:t>
            </w:r>
            <w:r w:rsidRPr="000C7190" w:rsidR="001B25DC">
              <w:rPr>
                <w:rFonts w:ascii="Poppins" w:hAnsi="Poppins" w:eastAsia="Calibri" w:cs="Poppins"/>
                <w:bCs/>
                <w:spacing w:val="-4"/>
                <w:sz w:val="20"/>
                <w:szCs w:val="20"/>
              </w:rPr>
              <w:fldChar w:fldCharType="begin"/>
            </w:r>
            <w:r w:rsidRPr="000C7190" w:rsidR="001B25DC">
              <w:rPr>
                <w:rFonts w:ascii="Poppins" w:hAnsi="Poppins" w:eastAsia="Calibri" w:cs="Poppins"/>
                <w:bCs/>
                <w:spacing w:val="-4"/>
                <w:sz w:val="20"/>
                <w:szCs w:val="20"/>
              </w:rPr>
              <w:instrText xml:space="preserve"> ADDIN EN.CITE &lt;EndNote&gt;&lt;Cite&gt;&lt;Author&gt;Faculty of Public Health&lt;/Author&gt;&lt;Year&gt;2024&lt;/Year&gt;&lt;RecNum&gt;29317&lt;/RecNum&gt;&lt;DisplayText&gt;&lt;style face="superscript"&gt;(Faculty of Public Health, 2024; UK Government, 2025)&lt;/style&gt;&lt;/DisplayText&gt;&lt;record&gt;&lt;rec-number&gt;29317&lt;/rec-number&gt;&lt;foreign-keys&gt;&lt;key app="EN" db-id="f5f5va0252p5fee95pj55es3tdereta29dxz" timestamp="1745952459" guid="8cec27ff-7868-43fa-b302-fe68803a461e"&gt;29317&lt;/key&gt;&lt;/foreign-keys&gt;&lt;ref-type name="Generic"&gt;13&lt;/ref-type&gt;&lt;contributors&gt;&lt;authors&gt;&lt;author&gt;Faculty of Public Health,&lt;/author&gt;&lt;/authors&gt;&lt;/contributors&gt;&lt;titles&gt;&lt;title&gt;The role of the NHS in prevention&lt;/title&gt;&lt;/titles&gt;&lt;dates&gt;&lt;year&gt;2024&lt;/year&gt;&lt;/dates&gt;&lt;urls&gt;&lt;related-urls&gt;&lt;url&gt;https://www.fph.org.uk/media/u1ofhkao/fph-the-role-of-the-nhs-in-prevention.pdf&lt;/url&gt;&lt;/related-urls&gt;&lt;/urls&gt;&lt;access-date&gt;May 2025&lt;/access-date&gt;&lt;/record&gt;&lt;/Cite&gt;&lt;Cite&gt;&lt;Author&gt;UK Government&lt;/Author&gt;&lt;Year&gt;2025&lt;/Year&gt;&lt;RecNum&gt;29539&lt;/RecNum&gt;&lt;record&gt;&lt;rec-number&gt;29539&lt;/rec-number&gt;&lt;foreign-keys&gt;&lt;key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0C7190" w:rsidR="001B25DC">
              <w:rPr>
                <w:rFonts w:ascii="Poppins" w:hAnsi="Poppins" w:eastAsia="Calibri" w:cs="Poppins"/>
                <w:bCs/>
                <w:spacing w:val="-4"/>
                <w:sz w:val="20"/>
                <w:szCs w:val="20"/>
              </w:rPr>
              <w:fldChar w:fldCharType="separate"/>
            </w:r>
            <w:r w:rsidRPr="000C7190" w:rsidR="001B25DC">
              <w:rPr>
                <w:rFonts w:ascii="Poppins" w:hAnsi="Poppins" w:eastAsia="Calibri" w:cs="Poppins"/>
                <w:bCs/>
                <w:noProof/>
                <w:spacing w:val="-4"/>
                <w:sz w:val="20"/>
                <w:szCs w:val="20"/>
                <w:vertAlign w:val="superscript"/>
              </w:rPr>
              <w:t>(Faculty of Public Health, 2024; UK Government, 2025)</w:t>
            </w:r>
            <w:r w:rsidRPr="000C7190" w:rsidR="001B25DC">
              <w:rPr>
                <w:rFonts w:ascii="Poppins" w:hAnsi="Poppins" w:eastAsia="Calibri" w:cs="Poppins"/>
                <w:bCs/>
                <w:spacing w:val="-4"/>
                <w:sz w:val="20"/>
                <w:szCs w:val="20"/>
              </w:rPr>
              <w:fldChar w:fldCharType="end"/>
            </w:r>
            <w:r w:rsidRPr="000C7190" w:rsidR="00BE1E32">
              <w:rPr>
                <w:rFonts w:ascii="Poppins" w:hAnsi="Poppins" w:eastAsia="Calibri" w:cs="Poppins"/>
                <w:bCs/>
                <w:spacing w:val="-4"/>
                <w:sz w:val="20"/>
                <w:szCs w:val="20"/>
              </w:rPr>
              <w:t xml:space="preserve"> may enable a smoother transition to life with symptomatic autoimmune T1D (Stage 3); proactive detection may reduce the likelihood of DKA, a medical emergency</w:t>
            </w:r>
            <w:r w:rsidRPr="000C7190" w:rsidR="001B25DC">
              <w:rPr>
                <w:rFonts w:ascii="Poppins" w:hAnsi="Poppins" w:eastAsia="Calibri" w:cs="Poppins"/>
                <w:bCs/>
                <w:spacing w:val="-4"/>
                <w:sz w:val="20"/>
                <w:szCs w:val="20"/>
              </w:rPr>
              <w:fldChar w:fldCharType="begin">
                <w:fldData xml:space="preserve">PEVuZE5vdGU+PENpdGU+PEF1dGhvcj5TaW1zPC9BdXRob3I+PFllYXI+MjAyMjwvWWVhcj48UmVj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b3ZpZGVyPjxsYW5ndWFnZT5lbmc8L2xhbmd1YWdlPjwvcmVjb3JkPjwvQ2l0ZT48Q2l0ZT48QXV0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</w:fldData>
              </w:fldChar>
            </w:r>
            <w:r w:rsidRPr="000C7190" w:rsidR="001B25DC">
              <w:rPr>
                <w:rFonts w:ascii="Poppins" w:hAnsi="Poppins" w:eastAsia="Calibri" w:cs="Poppins"/>
                <w:bCs/>
                <w:spacing w:val="-4"/>
                <w:sz w:val="20"/>
                <w:szCs w:val="20"/>
              </w:rPr>
              <w:instrText xml:space="preserve"> ADDIN EN.CITE </w:instrText>
            </w:r>
            <w:r w:rsidRPr="000C7190" w:rsidR="001B25DC">
              <w:rPr>
                <w:rFonts w:ascii="Poppins" w:hAnsi="Poppins" w:eastAsia="Calibri" w:cs="Poppins"/>
                <w:bCs/>
                <w:spacing w:val="-4"/>
                <w:sz w:val="20"/>
                <w:szCs w:val="20"/>
              </w:rPr>
              <w:fldChar w:fldCharType="begin">
                <w:fldData xml:space="preserve">PEVuZE5vdGU+PENpdGU+PEF1dGhvcj5TaW1zPC9BdXRob3I+PFllYXI+MjAyMjwvWWVhcj48UmVj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b3ZpZGVyPjxsYW5ndWFnZT5lbmc8L2xhbmd1YWdlPjwvcmVjb3JkPjwvQ2l0ZT48Q2l0ZT48QXV0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</w:fldData>
              </w:fldChar>
            </w:r>
            <w:r w:rsidRPr="000C7190" w:rsidR="001B25DC">
              <w:rPr>
                <w:rFonts w:ascii="Poppins" w:hAnsi="Poppins" w:eastAsia="Calibri" w:cs="Poppins"/>
                <w:bCs/>
                <w:spacing w:val="-4"/>
                <w:sz w:val="20"/>
                <w:szCs w:val="20"/>
              </w:rPr>
              <w:instrText xml:space="preserve"> ADDIN EN.CITE.DATA </w:instrText>
            </w:r>
            <w:r w:rsidRPr="000C7190" w:rsidR="001B25DC">
              <w:rPr>
                <w:rFonts w:ascii="Poppins" w:hAnsi="Poppins" w:eastAsia="Calibri" w:cs="Poppins"/>
                <w:bCs/>
                <w:spacing w:val="-4"/>
                <w:sz w:val="20"/>
                <w:szCs w:val="20"/>
              </w:rPr>
            </w:r>
            <w:r w:rsidRPr="000C7190" w:rsidR="001B25DC">
              <w:rPr>
                <w:rFonts w:ascii="Poppins" w:hAnsi="Poppins" w:eastAsia="Calibri" w:cs="Poppins"/>
                <w:bCs/>
                <w:spacing w:val="-4"/>
                <w:sz w:val="20"/>
                <w:szCs w:val="20"/>
              </w:rPr>
              <w:fldChar w:fldCharType="end"/>
            </w:r>
            <w:r w:rsidRPr="000C7190" w:rsidR="001B25DC">
              <w:rPr>
                <w:rFonts w:ascii="Poppins" w:hAnsi="Poppins" w:eastAsia="Calibri" w:cs="Poppins"/>
                <w:bCs/>
                <w:spacing w:val="-4"/>
                <w:sz w:val="20"/>
                <w:szCs w:val="20"/>
              </w:rPr>
            </w:r>
            <w:r w:rsidRPr="000C7190" w:rsidR="001B25DC">
              <w:rPr>
                <w:rFonts w:ascii="Poppins" w:hAnsi="Poppins" w:eastAsia="Calibri" w:cs="Poppins"/>
                <w:bCs/>
                <w:spacing w:val="-4"/>
                <w:sz w:val="20"/>
                <w:szCs w:val="20"/>
              </w:rPr>
              <w:fldChar w:fldCharType="separate"/>
            </w:r>
            <w:r w:rsidRPr="000C7190" w:rsidR="001B25DC">
              <w:rPr>
                <w:rFonts w:ascii="Poppins" w:hAnsi="Poppins" w:eastAsia="Calibri" w:cs="Poppins"/>
                <w:bCs/>
                <w:noProof/>
                <w:spacing w:val="-4"/>
                <w:sz w:val="20"/>
                <w:szCs w:val="20"/>
                <w:vertAlign w:val="superscript"/>
              </w:rPr>
              <w:t>(Sims, 2022; Narendran, 2019; Besser, 2022; Hummel, 2023)</w:t>
            </w:r>
            <w:r w:rsidRPr="000C7190" w:rsidR="001B25DC">
              <w:rPr>
                <w:rFonts w:ascii="Poppins" w:hAnsi="Poppins" w:eastAsia="Calibri" w:cs="Poppins"/>
                <w:bCs/>
                <w:spacing w:val="-4"/>
                <w:sz w:val="20"/>
                <w:szCs w:val="20"/>
              </w:rPr>
              <w:fldChar w:fldCharType="end"/>
            </w:r>
          </w:p>
          <w:p w:rsidRPr="00C43185" w:rsidR="00534FB9" w:rsidP="001B36EE" w:rsidRDefault="00534FB9" w14:paraId="3E96EBAF" w14:textId="54F777F6">
            <w:pPr>
              <w:pStyle w:val="ListParagraph"/>
              <w:numPr>
                <w:ilvl w:val="0"/>
                <w:numId w:val="37"/>
              </w:numPr>
              <w:ind w:left="360"/>
              <w:rPr>
                <w:rFonts w:ascii="Poppins" w:hAnsi="Poppins" w:eastAsia="Calibri" w:cs="Poppins"/>
                <w:bCs/>
                <w:sz w:val="20"/>
                <w:szCs w:val="20"/>
              </w:rPr>
            </w:pPr>
            <w:r w:rsidRPr="00C43185">
              <w:rPr>
                <w:rFonts w:ascii="Poppins" w:hAnsi="Poppins" w:eastAsia="Calibri" w:cs="Poppins"/>
                <w:bCs/>
                <w:sz w:val="20"/>
                <w:szCs w:val="20"/>
              </w:rPr>
              <w:t>Moving from reactive to proactive management of T1D may potentially impact local NHS produ</w:t>
            </w:r>
            <w:r w:rsidRPr="00C43185" w:rsidR="00BE1E32">
              <w:rPr>
                <w:rFonts w:ascii="Poppins" w:hAnsi="Poppins" w:eastAsia="Calibri" w:cs="Poppins"/>
                <w:bCs/>
                <w:sz w:val="20"/>
                <w:szCs w:val="20"/>
              </w:rPr>
              <w:t>c</w:t>
            </w:r>
            <w:r w:rsidRPr="00C43185">
              <w:rPr>
                <w:rFonts w:ascii="Poppins" w:hAnsi="Poppins" w:eastAsia="Calibri" w:cs="Poppins"/>
                <w:bCs/>
                <w:sz w:val="20"/>
                <w:szCs w:val="20"/>
              </w:rPr>
              <w:t>tivity targets</w:t>
            </w:r>
            <w:r w:rsidRPr="00C43185" w:rsidR="00BE1E32">
              <w:rPr>
                <w:rFonts w:ascii="Poppins" w:hAnsi="Poppins" w:eastAsia="Calibri" w:cs="Poppins"/>
                <w:bCs/>
                <w:sz w:val="20"/>
                <w:szCs w:val="20"/>
              </w:rPr>
              <w:t>, as a delay in onset of T1D may allow services to reallocate capacity and develop new proactive models of care</w:t>
            </w:r>
            <w:r w:rsidRPr="00C43185" w:rsidR="001B25DC">
              <w:rPr>
                <w:rFonts w:ascii="Poppins" w:hAnsi="Poppins" w:eastAsia="Calibri" w:cs="Poppins"/>
                <w:bCs/>
                <w:sz w:val="20"/>
                <w:szCs w:val="20"/>
              </w:rPr>
              <w:fldChar w:fldCharType="begin"/>
            </w:r>
            <w:r w:rsidRPr="00C43185" w:rsidR="001B25DC">
              <w:rPr>
                <w:rFonts w:ascii="Poppins" w:hAnsi="Poppins" w:eastAsia="Calibri" w:cs="Poppins"/>
                <w:bCs/>
                <w:sz w:val="20"/>
                <w:szCs w:val="20"/>
              </w:rPr>
              <w:instrText xml:space="preserve"> ADDIN EN.CITE &lt;EndNote&gt;&lt;Cite&gt;&lt;Author&gt;NHS England&lt;/Author&gt;&lt;Year&gt;2025&lt;/Year&gt;&lt;RecNum&gt;28959&lt;/RecNum&gt;&lt;DisplayText&gt;&lt;style face="superscript"&gt;(NHS England, 2025)&lt;/style&gt;&lt;/DisplayText&gt;&lt;record&gt;&lt;rec-number&gt;28959&lt;/rec-number&gt;&lt;foreign-keys&gt;&lt;key app="EN" db-id="f5f5va0252p5fee95pj55es3tdereta29dxz" timestamp="1740564083" guid="0c4efc14-7b5f-4807-b40e-f3616fbdc6c4"&gt;28959&lt;/key&gt;&lt;/foreign-keys&gt;&lt;ref-type name="Electronic Article"&gt;43&lt;/ref-type&gt;&lt;contributors&gt;&lt;authors&gt;&lt;author&gt;NHS England,&lt;/author&gt;&lt;/authors&gt;&lt;/contributors&gt;&lt;titles&gt;&lt;title&gt;2025/26 priorities and operational planning guidance&lt;/title&gt;&lt;/titles&gt;&lt;dates&gt;&lt;year&gt;2025&lt;/year&gt;&lt;pub-dates&gt;&lt;date&gt;June 2025&lt;/date&gt;&lt;/pub-dates&gt;&lt;/dates&gt;&lt;urls&gt;&lt;related-urls&gt;&lt;url&gt;https://www.england.nhs.uk/long-read/2025-26-priorities-and-operational-planning-guidance/&lt;/url&gt;&lt;/related-urls&gt;&lt;/urls&gt;&lt;access-date&gt;April 2025&lt;/access-date&gt;&lt;/record&gt;&lt;/Cite&gt;&lt;/EndNote&gt;</w:instrText>
            </w:r>
            <w:r w:rsidRPr="00C43185" w:rsidR="001B25DC">
              <w:rPr>
                <w:rFonts w:ascii="Poppins" w:hAnsi="Poppins" w:eastAsia="Calibri" w:cs="Poppins"/>
                <w:bCs/>
                <w:sz w:val="20"/>
                <w:szCs w:val="20"/>
              </w:rPr>
              <w:fldChar w:fldCharType="separate"/>
            </w:r>
            <w:r w:rsidRPr="00C43185" w:rsidR="001B25DC">
              <w:rPr>
                <w:rFonts w:ascii="Poppins" w:hAnsi="Poppins" w:eastAsia="Calibri" w:cs="Poppins"/>
                <w:bCs/>
                <w:noProof/>
                <w:sz w:val="20"/>
                <w:szCs w:val="20"/>
                <w:vertAlign w:val="superscript"/>
              </w:rPr>
              <w:t>(NHS England, 2025)</w:t>
            </w:r>
            <w:r w:rsidRPr="00C43185" w:rsidR="001B25DC">
              <w:rPr>
                <w:rFonts w:ascii="Poppins" w:hAnsi="Poppins" w:eastAsia="Calibri" w:cs="Poppins"/>
                <w:bCs/>
                <w:sz w:val="20"/>
                <w:szCs w:val="20"/>
              </w:rPr>
              <w:fldChar w:fldCharType="end"/>
            </w:r>
          </w:p>
          <w:p w:rsidRPr="000C7190" w:rsidR="00FE1692" w:rsidP="001B36EE" w:rsidRDefault="00BE1E32" w14:paraId="59D467E3" w14:textId="62461CEF">
            <w:pPr>
              <w:pStyle w:val="ListParagraph"/>
              <w:numPr>
                <w:ilvl w:val="0"/>
                <w:numId w:val="37"/>
              </w:numPr>
              <w:ind w:left="360"/>
              <w:rPr>
                <w:rFonts w:ascii="Poppins" w:hAnsi="Poppins" w:eastAsia="Calibri" w:cs="Poppins"/>
                <w:bCs/>
                <w:sz w:val="20"/>
                <w:szCs w:val="20"/>
              </w:rPr>
            </w:pPr>
            <w:r w:rsidRPr="00C43185">
              <w:rPr>
                <w:rFonts w:ascii="Poppins" w:hAnsi="Poppins" w:eastAsia="Calibri" w:cs="Poppins"/>
                <w:bCs/>
                <w:sz w:val="20"/>
                <w:szCs w:val="20"/>
              </w:rPr>
              <w:t>Scaling up from a largely reactive system to a more systematic proactive one for T1D may help meet the aims of population health management but require</w:t>
            </w:r>
            <w:r w:rsidR="003974BA">
              <w:rPr>
                <w:rFonts w:ascii="Poppins" w:hAnsi="Poppins" w:eastAsia="Calibri" w:cs="Poppins"/>
                <w:bCs/>
                <w:sz w:val="20"/>
                <w:szCs w:val="20"/>
              </w:rPr>
              <w:t>s</w:t>
            </w:r>
            <w:r w:rsidRPr="00C43185">
              <w:rPr>
                <w:rFonts w:ascii="Poppins" w:hAnsi="Poppins" w:eastAsia="Calibri" w:cs="Poppins"/>
                <w:bCs/>
                <w:sz w:val="20"/>
                <w:szCs w:val="20"/>
              </w:rPr>
              <w:t xml:space="preserve"> service evaluation to facilitate equitable access to</w:t>
            </w:r>
            <w:r w:rsidRPr="00C43185" w:rsidR="001B25DC">
              <w:rPr>
                <w:rFonts w:ascii="Poppins" w:hAnsi="Poppins" w:eastAsia="Calibri" w:cs="Poppins"/>
                <w:bCs/>
                <w:sz w:val="20"/>
                <w:szCs w:val="20"/>
              </w:rPr>
              <w:t xml:space="preserve"> teplizumab</w:t>
            </w:r>
            <w:r w:rsidRPr="00C43185" w:rsidR="001B25DC">
              <w:rPr>
                <w:rFonts w:ascii="Poppins" w:hAnsi="Poppins" w:eastAsia="Calibri" w:cs="Poppins"/>
                <w:bCs/>
                <w:sz w:val="20"/>
                <w:szCs w:val="20"/>
              </w:rPr>
              <w:fldChar w:fldCharType="begin"/>
            </w:r>
            <w:r w:rsidRPr="00C43185" w:rsidR="001B25DC">
              <w:rPr>
                <w:rFonts w:ascii="Poppins" w:hAnsi="Poppins" w:eastAsia="Calibri" w:cs="Poppins"/>
                <w:bCs/>
                <w:sz w:val="20"/>
                <w:szCs w:val="20"/>
              </w:rPr>
              <w:instrText xml:space="preserve"> ADDIN EN.CITE &lt;EndNote&gt;&lt;Cite&gt;&lt;Author&gt;NHS England&lt;/Author&gt;&lt;Year&gt;2023&lt;/Year&gt;&lt;RecNum&gt;29321&lt;/RecNum&gt;&lt;DisplayText&gt;&lt;style face="superscript"&gt;(NHS England, 2023)&lt;/style&gt;&lt;/DisplayText&gt;&lt;record&gt;&lt;rec-number&gt;29321&lt;/rec-number&gt;&lt;foreign-keys&gt;&lt;key app="EN" db-id="f5f5va0252p5fee95pj55es3tdereta29dxz" timestamp="1746028793" guid="fe0b4460-9169-45bb-b2be-0acf4331074c"&gt;29321&lt;/key&gt;&lt;/foreign-keys&gt;&lt;ref-type name="Electronic Article"&gt;43&lt;/ref-type&gt;&lt;contributors&gt;&lt;authors&gt;&lt;author&gt;NHS England,&lt;/author&gt;&lt;/authors&gt;&lt;/contributors&gt;&lt;titles&gt;&lt;title&gt;Population health management&lt;/title&gt;&lt;/titles&gt;&lt;dates&gt;&lt;year&gt;2023&lt;/year&gt;&lt;pub-dates&gt;&lt;date&gt;June 2025&lt;/date&gt;&lt;/pub-dates&gt;&lt;/dates&gt;&lt;urls&gt;&lt;related-urls&gt;&lt;url&gt;https://www.england.nhs.uk/long-read/population-health-management/&lt;/url&gt;&lt;/related-urls&gt;&lt;/urls&gt;&lt;access-date&gt;June 2025&lt;/access-date&gt;&lt;/record&gt;&lt;/Cite&gt;&lt;/EndNote&gt;</w:instrText>
            </w:r>
            <w:r w:rsidRPr="00C43185" w:rsidR="001B25DC">
              <w:rPr>
                <w:rFonts w:ascii="Poppins" w:hAnsi="Poppins" w:eastAsia="Calibri" w:cs="Poppins"/>
                <w:bCs/>
                <w:sz w:val="20"/>
                <w:szCs w:val="20"/>
              </w:rPr>
              <w:fldChar w:fldCharType="separate"/>
            </w:r>
            <w:r w:rsidRPr="00C43185" w:rsidR="001B25DC">
              <w:rPr>
                <w:rFonts w:ascii="Poppins" w:hAnsi="Poppins" w:eastAsia="Calibri" w:cs="Poppins"/>
                <w:bCs/>
                <w:noProof/>
                <w:sz w:val="20"/>
                <w:szCs w:val="20"/>
                <w:vertAlign w:val="superscript"/>
              </w:rPr>
              <w:t>(NHS England, 2023)</w:t>
            </w:r>
            <w:r w:rsidRPr="00C43185" w:rsidR="001B25DC">
              <w:rPr>
                <w:rFonts w:ascii="Poppins" w:hAnsi="Poppins" w:eastAsia="Calibri" w:cs="Poppins"/>
                <w:bCs/>
                <w:sz w:val="20"/>
                <w:szCs w:val="20"/>
              </w:rPr>
              <w:fldChar w:fldCharType="end"/>
            </w:r>
          </w:p>
          <w:p w:rsidRPr="00C43185" w:rsidR="0045647D" w:rsidP="001B36EE" w:rsidRDefault="0045647D" w14:paraId="7F1D73A4" w14:textId="4C21EA0D">
            <w:pPr>
              <w:spacing w:before="120"/>
              <w:rPr>
                <w:rFonts w:ascii="Poppins" w:hAnsi="Poppins" w:eastAsia="Calibri" w:cs="Poppins"/>
                <w:b/>
                <w:bCs/>
              </w:rPr>
            </w:pPr>
            <w:r w:rsidRPr="00C43185">
              <w:rPr>
                <w:rFonts w:ascii="Poppins" w:hAnsi="Poppins" w:eastAsia="Calibri" w:cs="Poppins"/>
                <w:b/>
                <w:bCs/>
              </w:rPr>
              <w:t xml:space="preserve">Summary of the benefit of commissioning the delivery of </w:t>
            </w:r>
            <w:r w:rsidRPr="00C43185" w:rsidR="00007BC7">
              <w:rPr>
                <w:rFonts w:ascii="Poppins" w:hAnsi="Poppins" w:eastAsia="Calibri" w:cs="Poppins"/>
                <w:b/>
                <w:bCs/>
              </w:rPr>
              <w:t>teplizumab</w:t>
            </w:r>
            <w:r w:rsidRPr="00C43185">
              <w:rPr>
                <w:rFonts w:ascii="Poppins" w:hAnsi="Poppins" w:eastAsia="Calibri" w:cs="Poppins"/>
                <w:b/>
                <w:bCs/>
              </w:rPr>
              <w:t xml:space="preserve"> infusions</w:t>
            </w:r>
          </w:p>
          <w:p w:rsidRPr="000C7190" w:rsidR="0045647D" w:rsidP="001B36EE" w:rsidRDefault="0045647D" w14:paraId="0A9C2C10" w14:textId="3AA9745B">
            <w:pPr>
              <w:rPr>
                <w:rFonts w:ascii="Poppins" w:hAnsi="Poppins" w:eastAsia="Calibri" w:cs="Poppins"/>
                <w:bCs/>
                <w:sz w:val="20"/>
                <w:szCs w:val="20"/>
              </w:rPr>
            </w:pPr>
            <w:r w:rsidRPr="00C43185">
              <w:rPr>
                <w:rFonts w:ascii="Poppins" w:hAnsi="Poppins" w:eastAsia="Calibri" w:cs="Poppins"/>
                <w:color w:val="A6A6A6" w:themeColor="background1" w:themeShade="A6"/>
                <w:sz w:val="20"/>
                <w:szCs w:val="20"/>
              </w:rPr>
              <w:t xml:space="preserve">&lt;Insert the key takeaway points from </w:t>
            </w:r>
            <w:r w:rsidRPr="00C43185" w:rsidR="00FE1692">
              <w:rPr>
                <w:rFonts w:ascii="Poppins" w:hAnsi="Poppins" w:eastAsia="Calibri" w:cs="Poppins"/>
                <w:color w:val="A6A6A6" w:themeColor="background1" w:themeShade="A6"/>
                <w:sz w:val="20"/>
                <w:szCs w:val="20"/>
              </w:rPr>
              <w:t>section 2</w:t>
            </w:r>
            <w:r w:rsidR="003974BA">
              <w:rPr>
                <w:rFonts w:ascii="Poppins" w:hAnsi="Poppins" w:eastAsia="Calibri" w:cs="Poppins"/>
                <w:color w:val="A6A6A6" w:themeColor="background1" w:themeShade="A6"/>
                <w:sz w:val="20"/>
                <w:szCs w:val="20"/>
              </w:rPr>
              <w:t xml:space="preserve"> below</w:t>
            </w:r>
            <w:r w:rsidRPr="00C43185" w:rsidR="00FE1692">
              <w:rPr>
                <w:rFonts w:ascii="Poppins" w:hAnsi="Poppins" w:eastAsia="Calibri" w:cs="Poppins"/>
                <w:color w:val="A6A6A6" w:themeColor="background1" w:themeShade="A6"/>
                <w:sz w:val="20"/>
                <w:szCs w:val="20"/>
              </w:rPr>
              <w:t>) the s</w:t>
            </w:r>
            <w:r w:rsidRPr="00C43185">
              <w:rPr>
                <w:rFonts w:ascii="Poppins" w:hAnsi="Poppins" w:eastAsia="Calibri" w:cs="Poppins"/>
                <w:color w:val="A6A6A6" w:themeColor="background1" w:themeShade="A6"/>
                <w:sz w:val="20"/>
                <w:szCs w:val="20"/>
              </w:rPr>
              <w:t xml:space="preserve">trategic case and </w:t>
            </w:r>
            <w:r w:rsidRPr="00C43185" w:rsidR="00FE1692">
              <w:rPr>
                <w:rFonts w:ascii="Poppins" w:hAnsi="Poppins" w:eastAsia="Calibri" w:cs="Poppins"/>
                <w:color w:val="A6A6A6" w:themeColor="background1" w:themeShade="A6"/>
                <w:sz w:val="20"/>
                <w:szCs w:val="20"/>
              </w:rPr>
              <w:t>section 3) the e</w:t>
            </w:r>
            <w:r w:rsidRPr="00C43185">
              <w:rPr>
                <w:rFonts w:ascii="Poppins" w:hAnsi="Poppins" w:eastAsia="Calibri" w:cs="Poppins"/>
                <w:color w:val="A6A6A6" w:themeColor="background1" w:themeShade="A6"/>
                <w:sz w:val="20"/>
                <w:szCs w:val="20"/>
              </w:rPr>
              <w:t>conomic case&gt;</w:t>
            </w:r>
          </w:p>
          <w:p w:rsidRPr="00C43185" w:rsidR="0045647D" w:rsidP="001B36EE" w:rsidRDefault="0045647D" w14:paraId="241F35A4" w14:textId="760A8AE1">
            <w:pPr>
              <w:spacing w:before="120"/>
              <w:rPr>
                <w:rFonts w:ascii="Poppins" w:hAnsi="Poppins" w:eastAsia="Calibri" w:cs="Poppins"/>
                <w:b/>
                <w:bCs/>
              </w:rPr>
            </w:pPr>
            <w:r w:rsidRPr="00C43185">
              <w:rPr>
                <w:rFonts w:ascii="Poppins" w:hAnsi="Poppins" w:eastAsia="Calibri" w:cs="Poppins"/>
                <w:b/>
                <w:bCs/>
              </w:rPr>
              <w:t xml:space="preserve">Summary of how the proposed service </w:t>
            </w:r>
            <w:r w:rsidRPr="00C43185" w:rsidR="00183369">
              <w:rPr>
                <w:rFonts w:ascii="Poppins" w:hAnsi="Poppins" w:eastAsia="Calibri" w:cs="Poppins"/>
                <w:b/>
                <w:bCs/>
              </w:rPr>
              <w:t>wil</w:t>
            </w:r>
            <w:r w:rsidRPr="00C43185">
              <w:rPr>
                <w:rFonts w:ascii="Poppins" w:hAnsi="Poppins" w:eastAsia="Calibri" w:cs="Poppins"/>
                <w:b/>
                <w:bCs/>
              </w:rPr>
              <w:t>l be set up and delivered</w:t>
            </w:r>
          </w:p>
          <w:p w:rsidRPr="00C43185" w:rsidR="0045647D" w:rsidP="001B36EE" w:rsidRDefault="0045647D" w14:paraId="73E09FBA" w14:textId="747ECB63">
            <w:pPr>
              <w:rPr>
                <w:rFonts w:ascii="Poppins" w:hAnsi="Poppins" w:eastAsia="Calibri" w:cs="Poppins"/>
                <w:color w:val="A6A6A6" w:themeColor="background1" w:themeShade="A6"/>
                <w:sz w:val="20"/>
                <w:szCs w:val="20"/>
              </w:rPr>
            </w:pPr>
            <w:r w:rsidRPr="00C43185">
              <w:rPr>
                <w:rFonts w:ascii="Poppins" w:hAnsi="Poppins" w:eastAsia="Calibri" w:cs="Poppins"/>
                <w:color w:val="A6A6A6" w:themeColor="background1" w:themeShade="A6"/>
                <w:sz w:val="20"/>
                <w:szCs w:val="20"/>
              </w:rPr>
              <w:t>&lt;Insert the key take away points from</w:t>
            </w:r>
            <w:r w:rsidRPr="00C43185" w:rsidR="00FE1692">
              <w:rPr>
                <w:rFonts w:ascii="Poppins" w:hAnsi="Poppins" w:eastAsia="Calibri" w:cs="Poppins"/>
                <w:color w:val="A6A6A6" w:themeColor="background1" w:themeShade="A6"/>
                <w:sz w:val="20"/>
                <w:szCs w:val="20"/>
              </w:rPr>
              <w:t xml:space="preserve"> section 4</w:t>
            </w:r>
            <w:r w:rsidR="003974BA">
              <w:rPr>
                <w:rFonts w:ascii="Poppins" w:hAnsi="Poppins" w:eastAsia="Calibri" w:cs="Poppins"/>
                <w:color w:val="A6A6A6" w:themeColor="background1" w:themeShade="A6"/>
                <w:sz w:val="20"/>
                <w:szCs w:val="20"/>
              </w:rPr>
              <w:t xml:space="preserve"> below</w:t>
            </w:r>
            <w:r w:rsidRPr="00C43185" w:rsidR="00FE1692">
              <w:rPr>
                <w:rFonts w:ascii="Poppins" w:hAnsi="Poppins" w:eastAsia="Calibri" w:cs="Poppins"/>
                <w:color w:val="A6A6A6" w:themeColor="background1" w:themeShade="A6"/>
                <w:sz w:val="20"/>
                <w:szCs w:val="20"/>
              </w:rPr>
              <w:t>) the f</w:t>
            </w:r>
            <w:r w:rsidRPr="00C43185">
              <w:rPr>
                <w:rFonts w:ascii="Poppins" w:hAnsi="Poppins" w:eastAsia="Calibri" w:cs="Poppins"/>
                <w:color w:val="A6A6A6" w:themeColor="background1" w:themeShade="A6"/>
                <w:sz w:val="20"/>
                <w:szCs w:val="20"/>
              </w:rPr>
              <w:t>inancial case and</w:t>
            </w:r>
            <w:r w:rsidRPr="00C43185" w:rsidR="00FE1692">
              <w:rPr>
                <w:rFonts w:ascii="Poppins" w:hAnsi="Poppins" w:eastAsia="Calibri" w:cs="Poppins"/>
                <w:color w:val="A6A6A6" w:themeColor="background1" w:themeShade="A6"/>
                <w:sz w:val="20"/>
                <w:szCs w:val="20"/>
              </w:rPr>
              <w:t xml:space="preserve"> section 5) the</w:t>
            </w:r>
            <w:r w:rsidRPr="00C43185">
              <w:rPr>
                <w:rFonts w:ascii="Poppins" w:hAnsi="Poppins" w:eastAsia="Calibri" w:cs="Poppins"/>
                <w:color w:val="A6A6A6" w:themeColor="background1" w:themeShade="A6"/>
                <w:sz w:val="20"/>
                <w:szCs w:val="20"/>
              </w:rPr>
              <w:t xml:space="preserve"> </w:t>
            </w:r>
            <w:r w:rsidRPr="00C43185" w:rsidR="00FE1692">
              <w:rPr>
                <w:rFonts w:ascii="Poppins" w:hAnsi="Poppins" w:eastAsia="Calibri" w:cs="Poppins"/>
                <w:color w:val="A6A6A6" w:themeColor="background1" w:themeShade="A6"/>
                <w:sz w:val="20"/>
                <w:szCs w:val="20"/>
              </w:rPr>
              <w:t>m</w:t>
            </w:r>
            <w:r w:rsidRPr="00C43185">
              <w:rPr>
                <w:rFonts w:ascii="Poppins" w:hAnsi="Poppins" w:eastAsia="Calibri" w:cs="Poppins"/>
                <w:color w:val="A6A6A6" w:themeColor="background1" w:themeShade="A6"/>
                <w:sz w:val="20"/>
                <w:szCs w:val="20"/>
              </w:rPr>
              <w:t>anagement case&gt;</w:t>
            </w:r>
          </w:p>
          <w:p w:rsidRPr="000C7190" w:rsidR="0045647D" w:rsidP="001B36EE" w:rsidRDefault="00183369" w14:paraId="0061CF0A" w14:textId="3EF04F60">
            <w:pPr>
              <w:spacing w:before="120"/>
              <w:rPr>
                <w:rFonts w:ascii="Poppins" w:hAnsi="Poppins" w:eastAsia="Calibri" w:cs="Poppins"/>
                <w:b/>
                <w:bCs/>
              </w:rPr>
            </w:pPr>
            <w:r w:rsidRPr="00C43185">
              <w:rPr>
                <w:rFonts w:ascii="Poppins" w:hAnsi="Poppins" w:eastAsia="Calibri" w:cs="Poppins"/>
                <w:b/>
                <w:bCs/>
              </w:rPr>
              <w:t>Summary of how the service will be used to provide high quality and auditable care</w:t>
            </w:r>
          </w:p>
          <w:p w:rsidRPr="00C43185" w:rsidR="009426AF" w:rsidP="001B36EE" w:rsidRDefault="00183369" w14:paraId="18E0A6B9" w14:textId="04D00DA6">
            <w:pPr>
              <w:rPr>
                <w:rFonts w:ascii="Poppins" w:hAnsi="Poppins" w:eastAsia="Times New Roman" w:cs="Poppins"/>
                <w:bCs/>
              </w:rPr>
            </w:pPr>
            <w:r w:rsidRPr="00C43185">
              <w:rPr>
                <w:rFonts w:ascii="Poppins" w:hAnsi="Poppins" w:eastAsia="Calibri" w:cs="Poppins"/>
                <w:color w:val="A6A6A6" w:themeColor="background1" w:themeShade="A6"/>
                <w:sz w:val="20"/>
                <w:szCs w:val="20"/>
              </w:rPr>
              <w:t>&lt;Insert the key take away points</w:t>
            </w:r>
            <w:r w:rsidRPr="00C43185" w:rsidR="00FE1692">
              <w:rPr>
                <w:rFonts w:ascii="Poppins" w:hAnsi="Poppins" w:eastAsia="Calibri" w:cs="Poppins"/>
                <w:color w:val="A6A6A6" w:themeColor="background1" w:themeShade="A6"/>
                <w:sz w:val="20"/>
                <w:szCs w:val="20"/>
              </w:rPr>
              <w:t xml:space="preserve"> around g</w:t>
            </w:r>
            <w:r w:rsidRPr="00C43185">
              <w:rPr>
                <w:rFonts w:ascii="Poppins" w:hAnsi="Poppins" w:eastAsia="Calibri" w:cs="Poppins"/>
                <w:color w:val="A6A6A6" w:themeColor="background1" w:themeShade="A6"/>
                <w:sz w:val="20"/>
                <w:szCs w:val="20"/>
              </w:rPr>
              <w:t>overnance</w:t>
            </w:r>
            <w:r w:rsidRPr="00C43185" w:rsidR="00FE1692">
              <w:rPr>
                <w:rFonts w:ascii="Poppins" w:hAnsi="Poppins" w:eastAsia="Calibri" w:cs="Poppins"/>
                <w:color w:val="A6A6A6" w:themeColor="background1" w:themeShade="A6"/>
                <w:sz w:val="20"/>
                <w:szCs w:val="20"/>
              </w:rPr>
              <w:t xml:space="preserve"> from section 5</w:t>
            </w:r>
            <w:r w:rsidR="003974BA">
              <w:rPr>
                <w:rFonts w:ascii="Poppins" w:hAnsi="Poppins" w:eastAsia="Calibri" w:cs="Poppins"/>
                <w:color w:val="A6A6A6" w:themeColor="background1" w:themeShade="A6"/>
                <w:sz w:val="20"/>
                <w:szCs w:val="20"/>
              </w:rPr>
              <w:t xml:space="preserve"> below</w:t>
            </w:r>
            <w:r w:rsidRPr="00C43185" w:rsidR="00FE1692">
              <w:rPr>
                <w:rFonts w:ascii="Poppins" w:hAnsi="Poppins" w:eastAsia="Calibri" w:cs="Poppins"/>
                <w:color w:val="A6A6A6" w:themeColor="background1" w:themeShade="A6"/>
                <w:sz w:val="20"/>
                <w:szCs w:val="20"/>
              </w:rPr>
              <w:t>) the management</w:t>
            </w:r>
            <w:r w:rsidRPr="00C43185">
              <w:rPr>
                <w:rFonts w:ascii="Poppins" w:hAnsi="Poppins" w:eastAsia="Calibri" w:cs="Poppins"/>
                <w:color w:val="A6A6A6" w:themeColor="background1" w:themeShade="A6"/>
                <w:sz w:val="20"/>
                <w:szCs w:val="20"/>
              </w:rPr>
              <w:t xml:space="preserve"> case &gt;</w:t>
            </w:r>
          </w:p>
        </w:tc>
      </w:tr>
    </w:tbl>
    <w:p w:rsidRPr="00C43185" w:rsidR="007C5948" w:rsidP="001B36EE" w:rsidRDefault="003B163D" w14:paraId="21F7AE6C" w14:textId="47F8B113">
      <w:pPr>
        <w:pStyle w:val="Heading1"/>
        <w:numPr>
          <w:ilvl w:val="0"/>
          <w:numId w:val="8"/>
        </w:numPr>
        <w:spacing w:after="120" w:line="240" w:lineRule="auto"/>
        <w:rPr>
          <w:rFonts w:ascii="Poppins" w:hAnsi="Poppins" w:cs="Poppins"/>
          <w:color w:val="0023C8"/>
        </w:rPr>
      </w:pPr>
      <w:bookmarkStart w:name="_Toc229391526" w:id="2"/>
      <w:r w:rsidRPr="00C43185">
        <w:rPr>
          <w:rFonts w:ascii="Poppins" w:hAnsi="Poppins" w:cs="Poppins"/>
          <w:color w:val="0023C8"/>
        </w:rPr>
        <w:t>Strategic Case</w:t>
      </w:r>
      <w:bookmarkEnd w:id="2"/>
    </w:p>
    <w:tbl>
      <w:tblPr>
        <w:tblStyle w:val="TableGrid"/>
        <w:tblW w:w="8772" w:type="dxa"/>
        <w:tblInd w:w="-142" w:type="dxa"/>
        <w:tblBorders>
          <w:insideH w:val="none" w:color="auto" w:sz="0" w:space="0"/>
          <w:insideV w:val="none" w:color="auto" w:sz="0" w:space="0"/>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Pr="00C43185" w:rsidR="009A10EE" w:rsidTr="00B16CC5" w14:paraId="6296DA5C" w14:textId="77777777">
        <w:tc>
          <w:tcPr>
            <w:tcW w:w="8772" w:type="dxa"/>
            <w:tcBorders>
              <w:top w:val="nil"/>
              <w:left w:val="nil"/>
              <w:bottom w:val="single" w:color="0023C8" w:sz="4" w:space="0"/>
              <w:right w:val="nil"/>
            </w:tcBorders>
            <w:shd w:val="clear" w:color="auto" w:fill="E3E5ED"/>
          </w:tcPr>
          <w:p w:rsidRPr="00C43185" w:rsidR="009A10EE" w:rsidP="001B36EE" w:rsidRDefault="009A10EE" w14:paraId="66C4814F" w14:textId="77777777">
            <w:pPr>
              <w:spacing w:after="60"/>
              <w:rPr>
                <w:rFonts w:ascii="Poppins" w:hAnsi="Poppins" w:eastAsia="Times New Roman" w:cs="Poppins"/>
                <w:b/>
                <w:i/>
                <w:iCs/>
              </w:rPr>
            </w:pPr>
            <w:r w:rsidRPr="00C43185">
              <w:rPr>
                <w:rFonts w:ascii="Poppins" w:hAnsi="Poppins" w:eastAsia="Times New Roman" w:cs="Poppins"/>
                <w:b/>
                <w:i/>
                <w:iCs/>
              </w:rPr>
              <w:t>Guidance information</w:t>
            </w:r>
          </w:p>
          <w:p w:rsidRPr="00C43185" w:rsidR="009A10EE" w:rsidP="001B36EE" w:rsidRDefault="009A10EE" w14:paraId="3B709D41" w14:textId="77777777">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The information in this section can be used directly in the business case to describe the rationale for the service or as a guide for members of the MDT developing the business case who may not be familiar with the disease area</w:t>
            </w:r>
          </w:p>
          <w:p w:rsidRPr="00C43185" w:rsidR="009A10EE" w:rsidP="001B36EE" w:rsidRDefault="009A10EE" w14:paraId="4011353F" w14:textId="6E67715B">
            <w:pPr>
              <w:pStyle w:val="ListParagraph"/>
              <w:numPr>
                <w:ilvl w:val="0"/>
                <w:numId w:val="9"/>
              </w:numPr>
              <w:spacing w:after="60"/>
              <w:contextualSpacing w:val="0"/>
              <w:rPr>
                <w:rFonts w:ascii="Poppins" w:hAnsi="Poppins" w:cs="Poppins"/>
                <w:i/>
                <w:iCs/>
                <w:sz w:val="20"/>
                <w:szCs w:val="20"/>
              </w:rPr>
            </w:pPr>
            <w:r w:rsidRPr="00C43185">
              <w:rPr>
                <w:rFonts w:ascii="Poppins" w:hAnsi="Poppins" w:cs="Poppins"/>
                <w:i/>
                <w:iCs/>
                <w:sz w:val="20"/>
                <w:szCs w:val="20"/>
              </w:rPr>
              <w:t xml:space="preserve">The strategic fit section sets out how the proposal aligns with NHS England and </w:t>
            </w:r>
            <w:r w:rsidRPr="00C43185" w:rsidR="00261F30">
              <w:rPr>
                <w:rFonts w:ascii="Poppins" w:hAnsi="Poppins" w:cs="Poppins"/>
                <w:i/>
                <w:iCs/>
                <w:sz w:val="20"/>
                <w:szCs w:val="20"/>
              </w:rPr>
              <w:t>Integrated Care System (</w:t>
            </w:r>
            <w:r w:rsidRPr="00C43185" w:rsidR="00B94043">
              <w:rPr>
                <w:rFonts w:ascii="Poppins" w:hAnsi="Poppins" w:cs="Poppins"/>
                <w:i/>
                <w:iCs/>
                <w:sz w:val="20"/>
                <w:szCs w:val="20"/>
              </w:rPr>
              <w:t>ICS</w:t>
            </w:r>
            <w:r w:rsidRPr="00C43185" w:rsidR="00261F30">
              <w:rPr>
                <w:rFonts w:ascii="Poppins" w:hAnsi="Poppins" w:cs="Poppins"/>
                <w:i/>
                <w:iCs/>
                <w:sz w:val="20"/>
                <w:szCs w:val="20"/>
              </w:rPr>
              <w:t>)</w:t>
            </w:r>
            <w:r w:rsidRPr="00C43185" w:rsidR="00B94043">
              <w:rPr>
                <w:rFonts w:ascii="Poppins" w:hAnsi="Poppins" w:cs="Poppins"/>
                <w:i/>
                <w:iCs/>
                <w:sz w:val="20"/>
                <w:szCs w:val="20"/>
              </w:rPr>
              <w:t xml:space="preserve"> key policies</w:t>
            </w:r>
            <w:r w:rsidRPr="00C43185" w:rsidR="00AE3438">
              <w:rPr>
                <w:rFonts w:ascii="Poppins" w:hAnsi="Poppins" w:cs="Poppins"/>
                <w:i/>
                <w:iCs/>
                <w:sz w:val="20"/>
                <w:szCs w:val="20"/>
              </w:rPr>
              <w:t>,</w:t>
            </w:r>
            <w:r w:rsidRPr="00C43185" w:rsidR="00B94043">
              <w:rPr>
                <w:rFonts w:ascii="Poppins" w:hAnsi="Poppins" w:cs="Poppins"/>
                <w:i/>
                <w:iCs/>
                <w:sz w:val="20"/>
                <w:szCs w:val="20"/>
              </w:rPr>
              <w:t xml:space="preserve"> strategies, and recovery objectives</w:t>
            </w:r>
          </w:p>
          <w:p w:rsidRPr="00C43185" w:rsidR="00B94043" w:rsidP="001B36EE" w:rsidRDefault="00B94043" w14:paraId="7501D6B5" w14:textId="55506158">
            <w:pPr>
              <w:pStyle w:val="ListParagraph"/>
              <w:numPr>
                <w:ilvl w:val="0"/>
                <w:numId w:val="9"/>
              </w:numPr>
              <w:spacing w:after="60"/>
              <w:contextualSpacing w:val="0"/>
              <w:rPr>
                <w:rFonts w:ascii="Poppins" w:hAnsi="Poppins" w:cs="Poppins"/>
                <w:i/>
                <w:iCs/>
              </w:rPr>
            </w:pPr>
            <w:r w:rsidRPr="00C43185">
              <w:rPr>
                <w:rFonts w:ascii="Poppins" w:hAnsi="Poppins" w:cs="Poppins"/>
                <w:i/>
                <w:iCs/>
                <w:sz w:val="20"/>
                <w:szCs w:val="20"/>
              </w:rPr>
              <w:t>The case for change section describes the current standard of care, unmet need, safety/quality issues</w:t>
            </w:r>
            <w:r w:rsidRPr="00C43185" w:rsidR="00461AF8">
              <w:rPr>
                <w:rFonts w:ascii="Poppins" w:hAnsi="Poppins" w:cs="Poppins"/>
                <w:i/>
                <w:iCs/>
                <w:sz w:val="20"/>
                <w:szCs w:val="20"/>
              </w:rPr>
              <w:t>, the benefits of implementing the service</w:t>
            </w:r>
            <w:r w:rsidRPr="00C43185">
              <w:rPr>
                <w:rFonts w:ascii="Poppins" w:hAnsi="Poppins" w:cs="Poppins"/>
                <w:i/>
                <w:iCs/>
                <w:sz w:val="20"/>
                <w:szCs w:val="20"/>
              </w:rPr>
              <w:t xml:space="preserve"> and the consequences of a ‘do nothing’ approach</w:t>
            </w:r>
            <w:r w:rsidRPr="00C43185" w:rsidR="00461AF8">
              <w:rPr>
                <w:rFonts w:ascii="Poppins" w:hAnsi="Poppins" w:cs="Poppins"/>
                <w:i/>
                <w:iCs/>
                <w:sz w:val="20"/>
                <w:szCs w:val="20"/>
              </w:rPr>
              <w:t xml:space="preserve">  </w:t>
            </w:r>
          </w:p>
        </w:tc>
      </w:tr>
      <w:tr w:rsidRPr="00C43185" w:rsidR="00B146B6" w:rsidTr="00B16CC5" w14:paraId="6EE550ED" w14:textId="77777777">
        <w:tc>
          <w:tcPr>
            <w:tcW w:w="8772" w:type="dxa"/>
            <w:tcBorders>
              <w:top w:val="single" w:color="0023C8" w:sz="4" w:space="0"/>
              <w:left w:val="single" w:color="0023C8" w:sz="4" w:space="0"/>
              <w:bottom w:val="single" w:color="0023C8" w:sz="4" w:space="0"/>
              <w:right w:val="single" w:color="0023C8" w:sz="4" w:space="0"/>
            </w:tcBorders>
            <w:shd w:val="clear" w:color="auto" w:fill="FFFFFF" w:themeFill="background1"/>
          </w:tcPr>
          <w:p w:rsidRPr="00C43185" w:rsidR="00B146B6" w:rsidP="001B36EE" w:rsidRDefault="00B146B6" w14:paraId="7A853A92" w14:textId="77777777">
            <w:pPr>
              <w:pStyle w:val="Heading2"/>
              <w:spacing w:before="0" w:after="60"/>
              <w:rPr>
                <w:rFonts w:ascii="Poppins" w:hAnsi="Poppins" w:cs="Poppins"/>
                <w:color w:val="0023C8"/>
              </w:rPr>
            </w:pPr>
            <w:bookmarkStart w:name="_Toc229391527" w:id="3"/>
            <w:r w:rsidRPr="00C43185">
              <w:rPr>
                <w:rFonts w:ascii="Poppins" w:hAnsi="Poppins" w:cs="Poppins"/>
                <w:color w:val="0023C8"/>
              </w:rPr>
              <w:t>2.1 Strategic fit</w:t>
            </w:r>
            <w:bookmarkEnd w:id="3"/>
          </w:p>
          <w:p w:rsidRPr="00C43185" w:rsidR="00B146B6" w:rsidP="001B36EE" w:rsidRDefault="00B146B6" w14:paraId="6424E501" w14:textId="77777777">
            <w:pPr>
              <w:spacing w:after="60"/>
              <w:rPr>
                <w:rFonts w:ascii="Poppins" w:hAnsi="Poppins" w:cs="Poppins"/>
                <w:sz w:val="20"/>
                <w:szCs w:val="20"/>
              </w:rPr>
            </w:pPr>
            <w:r w:rsidRPr="00C43185">
              <w:rPr>
                <w:rFonts w:ascii="Poppins" w:hAnsi="Poppins" w:cs="Poppins"/>
                <w:sz w:val="20"/>
                <w:szCs w:val="20"/>
              </w:rPr>
              <w:t>The 10-year plan for the NHS underlined the need for healthcare services to adapt to meet changing population needs. It emphasised the necessity to shift from treating ill health to  preventing the consequences of long-term conditions, as a means to reducing demand on an already stretched health service.</w:t>
            </w:r>
            <w:r w:rsidRPr="00C43185">
              <w:rPr>
                <w:rFonts w:ascii="Poppins" w:hAnsi="Poppins" w:cs="Poppins"/>
                <w:sz w:val="20"/>
                <w:szCs w:val="20"/>
                <w:vertAlign w:val="superscript"/>
              </w:rPr>
              <w:fldChar w:fldCharType="begin"/>
            </w:r>
            <w:r w:rsidRPr="00C43185">
              <w:rPr>
                <w:rFonts w:ascii="Poppins" w:hAnsi="Poppins" w:cs="Poppins"/>
                <w:sz w:val="20"/>
                <w:szCs w:val="20"/>
                <w:vertAlign w:val="superscript"/>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cs="Poppins"/>
                <w:sz w:val="20"/>
                <w:szCs w:val="20"/>
                <w:vertAlign w:val="superscript"/>
              </w:rPr>
              <w:fldChar w:fldCharType="separate"/>
            </w:r>
            <w:r w:rsidRPr="00C43185">
              <w:rPr>
                <w:rFonts w:ascii="Poppins" w:hAnsi="Poppins" w:cs="Poppins"/>
                <w:sz w:val="20"/>
                <w:szCs w:val="20"/>
                <w:vertAlign w:val="superscript"/>
              </w:rPr>
              <w:t>(UK Government, 2025)</w:t>
            </w:r>
            <w:r w:rsidRPr="00C43185">
              <w:rPr>
                <w:rFonts w:ascii="Poppins" w:hAnsi="Poppins" w:cs="Poppins"/>
                <w:sz w:val="20"/>
                <w:szCs w:val="20"/>
                <w:vertAlign w:val="superscript"/>
              </w:rPr>
              <w:fldChar w:fldCharType="end"/>
            </w:r>
          </w:p>
          <w:p w:rsidRPr="00C43185" w:rsidR="00B146B6" w:rsidP="001B36EE" w:rsidRDefault="00B146B6" w14:paraId="176E9733" w14:textId="6327B446">
            <w:pPr>
              <w:spacing w:after="60"/>
              <w:rPr>
                <w:rFonts w:ascii="Poppins" w:hAnsi="Poppins" w:cs="Poppins"/>
                <w:sz w:val="20"/>
                <w:szCs w:val="20"/>
                <w:vertAlign w:val="superscript"/>
              </w:rPr>
            </w:pPr>
            <w:r w:rsidRPr="00C43185">
              <w:rPr>
                <w:rFonts w:ascii="Poppins" w:hAnsi="Poppins" w:cs="Poppins"/>
                <w:sz w:val="20"/>
                <w:szCs w:val="20"/>
              </w:rPr>
              <w:t>Prevention not only relates to stopping a health condition from developing, but also</w:t>
            </w:r>
            <w:r w:rsidR="003235B0">
              <w:rPr>
                <w:rFonts w:ascii="Poppins" w:hAnsi="Poppins" w:cs="Poppins"/>
                <w:sz w:val="20"/>
                <w:szCs w:val="20"/>
              </w:rPr>
              <w:t xml:space="preserve"> </w:t>
            </w:r>
            <w:r w:rsidRPr="00C43185">
              <w:rPr>
                <w:rFonts w:ascii="Poppins" w:hAnsi="Poppins" w:cs="Poppins"/>
                <w:sz w:val="20"/>
                <w:szCs w:val="20"/>
              </w:rPr>
              <w:t>facilitating early intervention and treatment, and minimisation of future consequences of a condition</w:t>
            </w:r>
            <w:r w:rsidRPr="00C43185">
              <w:rPr>
                <w:rFonts w:ascii="Poppins" w:hAnsi="Poppins" w:cs="Poppins"/>
                <w:sz w:val="20"/>
                <w:szCs w:val="20"/>
                <w:vertAlign w:val="superscript"/>
              </w:rPr>
              <w:t>.</w:t>
            </w:r>
            <w:r w:rsidRPr="00C43185">
              <w:rPr>
                <w:rFonts w:ascii="Poppins" w:hAnsi="Poppins" w:cs="Poppins"/>
                <w:sz w:val="20"/>
                <w:szCs w:val="20"/>
                <w:vertAlign w:val="superscript"/>
              </w:rPr>
              <w:fldChar w:fldCharType="begin"/>
            </w:r>
            <w:r w:rsidRPr="00C43185">
              <w:rPr>
                <w:rFonts w:ascii="Poppins" w:hAnsi="Poppins" w:cs="Poppins"/>
                <w:sz w:val="20"/>
                <w:szCs w:val="20"/>
                <w:vertAlign w:val="superscript"/>
              </w:rPr>
              <w:instrText xml:space="preserve"> ADDIN EN.CITE &lt;EndNote&gt;&lt;Cite&gt;&lt;Author&gt;Faculty of Public Health&lt;/Author&gt;&lt;Year&gt;2024&lt;/Year&gt;&lt;RecNum&gt;29317&lt;/RecNum&gt;&lt;DisplayText&gt;&lt;style face="superscript"&gt;(Faculty of Public Health, 2024)&lt;/style&gt;&lt;/DisplayText&gt;&lt;record&gt;&lt;rec-number&gt;29317&lt;/rec-number&gt;&lt;foreign-keys&gt;&lt;key app="EN" db-id="f5f5va0252p5fee95pj55es3tdereta29dxz" timestamp="1745952459" guid="8cec27ff-7868-43fa-b302-fe68803a461e"&gt;29317&lt;/key&gt;&lt;/foreign-keys&gt;&lt;ref-type name="Generic"&gt;13&lt;/ref-type&gt;&lt;contributors&gt;&lt;authors&gt;&lt;author&gt;Faculty of Public Health,&lt;/author&gt;&lt;/authors&gt;&lt;/contributors&gt;&lt;titles&gt;&lt;title&gt;The role of the NHS in prevention&lt;/title&gt;&lt;/titles&gt;&lt;dates&gt;&lt;year&gt;2024&lt;/year&gt;&lt;/dates&gt;&lt;urls&gt;&lt;related-urls&gt;&lt;url&gt;https://www.fph.org.uk/media/u1ofhkao/fph-the-role-of-the-nhs-in-prevention.pdf&lt;/url&gt;&lt;/related-urls&gt;&lt;/urls&gt;&lt;access-date&gt;May 2025&lt;/access-date&gt;&lt;/record&gt;&lt;/Cite&gt;&lt;/EndNote&gt;</w:instrText>
            </w:r>
            <w:r w:rsidRPr="00C43185">
              <w:rPr>
                <w:rFonts w:ascii="Poppins" w:hAnsi="Poppins" w:cs="Poppins"/>
                <w:sz w:val="20"/>
                <w:szCs w:val="20"/>
                <w:vertAlign w:val="superscript"/>
              </w:rPr>
              <w:fldChar w:fldCharType="separate"/>
            </w:r>
            <w:r w:rsidRPr="00C43185">
              <w:rPr>
                <w:rFonts w:ascii="Poppins" w:hAnsi="Poppins" w:cs="Poppins"/>
                <w:sz w:val="20"/>
                <w:szCs w:val="20"/>
                <w:vertAlign w:val="superscript"/>
              </w:rPr>
              <w:t>(Faculty of Public Health, 2024)</w:t>
            </w:r>
            <w:r w:rsidRPr="00C43185">
              <w:rPr>
                <w:rFonts w:ascii="Poppins" w:hAnsi="Poppins" w:cs="Poppins"/>
                <w:sz w:val="20"/>
                <w:szCs w:val="20"/>
                <w:vertAlign w:val="superscript"/>
              </w:rPr>
              <w:fldChar w:fldCharType="end"/>
            </w:r>
            <w:r w:rsidRPr="00C43185">
              <w:rPr>
                <w:rFonts w:ascii="Poppins" w:hAnsi="Poppins" w:cs="Poppins"/>
                <w:sz w:val="20"/>
                <w:szCs w:val="20"/>
              </w:rPr>
              <w:t xml:space="preserve"> The shift aligns to the principles of population health management, by promoting the move from a largely proactive system, that responds when people become ill, to a more proactive one.</w:t>
            </w:r>
            <w:r w:rsidRPr="00C43185">
              <w:rPr>
                <w:rFonts w:ascii="Poppins" w:hAnsi="Poppins" w:cs="Poppins"/>
                <w:sz w:val="20"/>
                <w:szCs w:val="20"/>
                <w:vertAlign w:val="superscript"/>
              </w:rPr>
              <w:fldChar w:fldCharType="begin"/>
            </w:r>
            <w:r w:rsidRPr="00C43185">
              <w:rPr>
                <w:rFonts w:ascii="Poppins" w:hAnsi="Poppins" w:cs="Poppins"/>
                <w:sz w:val="20"/>
                <w:szCs w:val="20"/>
                <w:vertAlign w:val="superscript"/>
              </w:rPr>
              <w:instrText xml:space="preserve"> ADDIN EN.CITE &lt;EndNote&gt;&lt;Cite&gt;&lt;Author&gt;NHS England&lt;/Author&gt;&lt;Year&gt;2023&lt;/Year&gt;&lt;RecNum&gt;29321&lt;/RecNum&gt;&lt;DisplayText&gt;&lt;style face="superscript"&gt;(NHS England, 2023)&lt;/style&gt;&lt;/DisplayText&gt;&lt;record&gt;&lt;rec-number&gt;29321&lt;/rec-number&gt;&lt;foreign-keys&gt;&lt;key app="EN" db-id="f5f5va0252p5fee95pj55es3tdereta29dxz" timestamp="1746028793" guid="fe0b4460-9169-45bb-b2be-0acf4331074c"&gt;29321&lt;/key&gt;&lt;/foreign-keys&gt;&lt;ref-type name="Electronic Article"&gt;43&lt;/ref-type&gt;&lt;contributors&gt;&lt;authors&gt;&lt;author&gt;NHS England,&lt;/author&gt;&lt;/authors&gt;&lt;/contributors&gt;&lt;titles&gt;&lt;title&gt;Population health management&lt;/title&gt;&lt;/titles&gt;&lt;dates&gt;&lt;year&gt;2023&lt;/year&gt;&lt;pub-dates&gt;&lt;date&gt;June 2025&lt;/date&gt;&lt;/pub-dates&gt;&lt;/dates&gt;&lt;urls&gt;&lt;related-urls&gt;&lt;url&gt;https://www.england.nhs.uk/long-read/population-health-management/&lt;/url&gt;&lt;/related-urls&gt;&lt;/urls&gt;&lt;access-date&gt;June 2025&lt;/access-date&gt;&lt;/record&gt;&lt;/Cite&gt;&lt;/EndNote&gt;</w:instrText>
            </w:r>
            <w:r w:rsidRPr="00C43185">
              <w:rPr>
                <w:rFonts w:ascii="Poppins" w:hAnsi="Poppins" w:cs="Poppins"/>
                <w:sz w:val="20"/>
                <w:szCs w:val="20"/>
                <w:vertAlign w:val="superscript"/>
              </w:rPr>
              <w:fldChar w:fldCharType="separate"/>
            </w:r>
            <w:r w:rsidRPr="00C43185">
              <w:rPr>
                <w:rFonts w:ascii="Poppins" w:hAnsi="Poppins" w:cs="Poppins"/>
                <w:sz w:val="20"/>
                <w:szCs w:val="20"/>
                <w:vertAlign w:val="superscript"/>
              </w:rPr>
              <w:t>(NHS England, 2023)</w:t>
            </w:r>
            <w:r w:rsidRPr="00C43185">
              <w:rPr>
                <w:rFonts w:ascii="Poppins" w:hAnsi="Poppins" w:cs="Poppins"/>
                <w:sz w:val="20"/>
                <w:szCs w:val="20"/>
                <w:vertAlign w:val="superscript"/>
              </w:rPr>
              <w:fldChar w:fldCharType="end"/>
            </w:r>
          </w:p>
          <w:p w:rsidRPr="00B146B6" w:rsidR="00B146B6" w:rsidP="001B36EE" w:rsidRDefault="00B146B6" w14:paraId="440E2D1B" w14:textId="0DE4EBAB">
            <w:pPr>
              <w:spacing w:after="60"/>
              <w:rPr>
                <w:rFonts w:ascii="Poppins" w:hAnsi="Poppins" w:cs="Poppins"/>
                <w:sz w:val="20"/>
                <w:szCs w:val="20"/>
              </w:rPr>
            </w:pPr>
            <w:r w:rsidRPr="00C43185">
              <w:rPr>
                <w:rFonts w:ascii="Poppins" w:hAnsi="Poppins" w:cs="Poppins"/>
                <w:sz w:val="20"/>
                <w:szCs w:val="20"/>
              </w:rPr>
              <w:t>Prioritising p</w:t>
            </w:r>
            <w:r w:rsidR="00481952">
              <w:rPr>
                <w:rFonts w:ascii="Poppins" w:hAnsi="Poppins" w:cs="Poppins"/>
                <w:sz w:val="20"/>
                <w:szCs w:val="20"/>
              </w:rPr>
              <w:t>eople</w:t>
            </w:r>
            <w:r w:rsidRPr="00C43185">
              <w:rPr>
                <w:rFonts w:ascii="Poppins" w:hAnsi="Poppins" w:cs="Poppins"/>
                <w:sz w:val="20"/>
                <w:szCs w:val="20"/>
              </w:rPr>
              <w:t xml:space="preserve"> most likely to drive reactive demand in a system, e.g., </w:t>
            </w:r>
            <w:r w:rsidR="00481952">
              <w:rPr>
                <w:rFonts w:ascii="Poppins" w:hAnsi="Poppins" w:cs="Poppins"/>
                <w:sz w:val="20"/>
                <w:szCs w:val="20"/>
              </w:rPr>
              <w:t>those</w:t>
            </w:r>
            <w:r w:rsidRPr="00C43185">
              <w:rPr>
                <w:rFonts w:ascii="Poppins" w:hAnsi="Poppins" w:cs="Poppins"/>
                <w:sz w:val="20"/>
                <w:szCs w:val="20"/>
              </w:rPr>
              <w:t xml:space="preserve"> with type 1 diabetes (T1D), and providing them with proactive intervention, may help reduce system demand in the short-term.</w:t>
            </w:r>
            <w:r w:rsidRPr="00C43185">
              <w:rPr>
                <w:rFonts w:ascii="Poppins" w:hAnsi="Poppins" w:cs="Poppins"/>
                <w:sz w:val="20"/>
                <w:szCs w:val="20"/>
                <w:vertAlign w:val="superscript"/>
              </w:rPr>
              <w:fldChar w:fldCharType="begin"/>
            </w:r>
            <w:r w:rsidR="008B253D">
              <w:rPr>
                <w:rFonts w:ascii="Poppins" w:hAnsi="Poppins" w:cs="Poppins"/>
                <w:sz w:val="20"/>
                <w:szCs w:val="20"/>
                <w:vertAlign w:val="superscript"/>
              </w:rPr>
              <w:instrText xml:space="preserve"> ADDIN EN.CITE &lt;EndNote&gt;&lt;Cite&gt;&lt;Author&gt;NHS Confederation&lt;/Author&gt;&lt;Year&gt;2024&lt;/Year&gt;&lt;RecNum&gt;30241&lt;/RecNum&gt;&lt;DisplayText&gt;&lt;style face="superscript"&gt;(NHS Confederation, 2024)&lt;/style&gt;&lt;/DisplayText&gt;&lt;record&gt;&lt;rec-number&gt;30241&lt;/rec-number&gt;&lt;foreign-keys&gt;&lt;key app="EN" db-id="f5f5va0252p5fee95pj55es3tdereta29dxz" timestamp="1767707696" guid="b86c140b-acf4-4083-84f5-925cefada984"&gt;30241&lt;/key&gt;&lt;/foreign-keys&gt;&lt;ref-type name="Generic"&gt;13&lt;/ref-type&gt;&lt;contributors&gt;&lt;authors&gt;&lt;author&gt;NHS Confederation,&lt;/author&gt;&lt;/authors&gt;&lt;/contributors&gt;&lt;titles&gt;&lt;title&gt;Unlocking prevention in integrated care systems: a guide to balancing short- and longer-trm impact&lt;/title&gt;&lt;/titles&gt;&lt;dates&gt;&lt;year&gt;2024&lt;/year&gt;&lt;/dates&gt;&lt;urls&gt;&lt;related-urls&gt;&lt;url&gt;https://www.nhsconfed.org/publications/guide-unlocking-prevention-ICSs&lt;/url&gt;&lt;/related-urls&gt;&lt;/urls&gt;&lt;access-date&gt;January 2026&lt;/access-date&gt;&lt;/record&gt;&lt;/Cite&gt;&lt;/EndNote&gt;</w:instrText>
            </w:r>
            <w:r w:rsidRPr="00C43185">
              <w:rPr>
                <w:rFonts w:ascii="Poppins" w:hAnsi="Poppins" w:cs="Poppins"/>
                <w:sz w:val="20"/>
                <w:szCs w:val="20"/>
                <w:vertAlign w:val="superscript"/>
              </w:rPr>
              <w:fldChar w:fldCharType="separate"/>
            </w:r>
            <w:r w:rsidRPr="00C43185">
              <w:rPr>
                <w:rFonts w:ascii="Poppins" w:hAnsi="Poppins" w:cs="Poppins"/>
                <w:noProof/>
                <w:sz w:val="20"/>
                <w:szCs w:val="20"/>
                <w:vertAlign w:val="superscript"/>
              </w:rPr>
              <w:t>(NHS Confederation, 2024)</w:t>
            </w:r>
            <w:r w:rsidRPr="00C43185">
              <w:rPr>
                <w:rFonts w:ascii="Poppins" w:hAnsi="Poppins" w:cs="Poppins"/>
                <w:sz w:val="20"/>
                <w:szCs w:val="20"/>
                <w:vertAlign w:val="superscript"/>
              </w:rPr>
              <w:fldChar w:fldCharType="end"/>
            </w:r>
            <w:r w:rsidRPr="00C43185">
              <w:rPr>
                <w:rFonts w:ascii="Poppins" w:hAnsi="Poppins" w:cs="Poppins"/>
                <w:sz w:val="20"/>
                <w:szCs w:val="20"/>
                <w:vertAlign w:val="superscript"/>
              </w:rPr>
              <w:t xml:space="preserve"> </w:t>
            </w:r>
            <w:r w:rsidRPr="00C43185">
              <w:rPr>
                <w:rFonts w:ascii="Poppins" w:hAnsi="Poppins" w:cs="Poppins"/>
                <w:sz w:val="20"/>
                <w:szCs w:val="20"/>
              </w:rPr>
              <w:t>This is particularly important for children and young people. Intervention to delay disease progression, together with effective support to manage their condition, can provide children and young people with a strong framework to thrive in life and may reduce their lifetime costs to the NHS.</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(UK Government, 2025)</w:t>
            </w:r>
            <w:r w:rsidRPr="00C43185">
              <w:rPr>
                <w:rFonts w:ascii="Poppins" w:hAnsi="Poppins" w:cs="Poppins"/>
                <w:sz w:val="20"/>
                <w:szCs w:val="20"/>
              </w:rPr>
              <w:fldChar w:fldCharType="end"/>
            </w:r>
            <w:r w:rsidRPr="00C43185">
              <w:rPr>
                <w:rFonts w:ascii="Poppins" w:hAnsi="Poppins" w:cs="Poppins"/>
                <w:sz w:val="20"/>
                <w:szCs w:val="20"/>
              </w:rPr>
              <w:t xml:space="preserve"> This supports the vision for improving the futures of children and young people.</w:t>
            </w:r>
            <w:r w:rsidRPr="00C43185">
              <w:rPr>
                <w:rFonts w:ascii="Poppins" w:hAnsi="Poppins" w:cs="Poppins"/>
                <w:sz w:val="20"/>
                <w:szCs w:val="20"/>
              </w:rPr>
              <w:fldChar w:fldCharType="begin"/>
            </w:r>
            <w:r w:rsidRPr="00C43185">
              <w:rPr>
                <w:rFonts w:ascii="Poppins" w:hAnsi="Poppins" w:cs="Poppins"/>
                <w:sz w:val="20"/>
                <w:szCs w:val="20"/>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(UK Government, 2025)</w:t>
            </w:r>
            <w:r w:rsidRPr="00C43185">
              <w:rPr>
                <w:rFonts w:ascii="Poppins" w:hAnsi="Poppins" w:cs="Poppins"/>
                <w:sz w:val="20"/>
                <w:szCs w:val="20"/>
              </w:rPr>
              <w:fldChar w:fldCharType="end"/>
            </w:r>
          </w:p>
        </w:tc>
      </w:tr>
    </w:tbl>
    <w:p w:rsidR="00B146B6" w:rsidP="001B36EE" w:rsidRDefault="00B146B6" w14:paraId="4E8F3C70" w14:textId="77777777">
      <w:pPr>
        <w:spacing w:after="60" w:line="240" w:lineRule="auto"/>
      </w:pPr>
    </w:p>
    <w:p w:rsidR="00B146B6" w:rsidP="001B36EE" w:rsidRDefault="00B146B6" w14:paraId="0F5C5724" w14:textId="77777777">
      <w:pPr>
        <w:spacing w:after="60" w:line="240" w:lineRule="auto"/>
      </w:pPr>
    </w:p>
    <w:p w:rsidR="00B146B6" w:rsidP="001B36EE" w:rsidRDefault="00B146B6" w14:paraId="31A21EE8" w14:textId="77777777">
      <w:pPr>
        <w:spacing w:after="60" w:line="240" w:lineRule="auto"/>
      </w:pPr>
    </w:p>
    <w:tbl>
      <w:tblPr>
        <w:tblStyle w:val="TableGrid"/>
        <w:tblW w:w="8772" w:type="dxa"/>
        <w:tblInd w:w="-142" w:type="dxa"/>
        <w:tblBorders>
          <w:top w:val="single" w:color="0023C8" w:sz="4" w:space="0"/>
          <w:left w:val="single" w:color="0023C8" w:sz="4" w:space="0"/>
          <w:bottom w:val="single" w:color="0023C8" w:sz="4" w:space="0"/>
          <w:right w:val="single" w:color="0023C8" w:sz="4" w:space="0"/>
          <w:insideH w:val="none" w:color="auto" w:sz="0" w:space="0"/>
          <w:insideV w:val="none" w:color="auto" w:sz="0" w:space="0"/>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Pr="00C43185" w:rsidR="00B146B6" w:rsidTr="00B16CC5" w14:paraId="3691A7E5" w14:textId="77777777">
        <w:trPr>
          <w:trHeight w:val="8220"/>
        </w:trPr>
        <w:tc>
          <w:tcPr>
            <w:tcW w:w="8772" w:type="dxa"/>
            <w:shd w:val="clear" w:color="auto" w:fill="FFFFFF" w:themeFill="background1"/>
          </w:tcPr>
          <w:p w:rsidRPr="00C43185" w:rsidR="00B146B6" w:rsidP="001B36EE" w:rsidRDefault="00B146B6" w14:paraId="1FD4B1E1" w14:textId="6DA538DC">
            <w:pPr>
              <w:spacing w:after="60"/>
              <w:rPr>
                <w:rFonts w:ascii="Poppins" w:hAnsi="Poppins" w:eastAsia="Times New Roman" w:cs="Poppins"/>
                <w:bCs/>
                <w:sz w:val="20"/>
                <w:szCs w:val="20"/>
              </w:rPr>
            </w:pPr>
            <w:r w:rsidRPr="00C43185">
              <w:rPr>
                <w:rFonts w:ascii="Poppins" w:hAnsi="Poppins" w:cs="Poppins"/>
                <w:sz w:val="20"/>
                <w:szCs w:val="20"/>
              </w:rPr>
              <w:t>Inequalities exist in how T1D impacts long-term health outcomes despite the prevalence being similar across all social groups.</w:t>
            </w:r>
            <w:r w:rsidRPr="00C43185">
              <w:rPr>
                <w:rFonts w:ascii="Poppins" w:hAnsi="Poppins" w:cs="Poppins"/>
                <w:sz w:val="20"/>
                <w:szCs w:val="20"/>
              </w:rPr>
              <w:fldChar w:fldCharType="begin"/>
            </w:r>
            <w:r w:rsidR="008B253D">
              <w:rPr>
                <w:rFonts w:ascii="Poppins" w:hAnsi="Poppins" w:cs="Poppins"/>
                <w:sz w:val="20"/>
                <w:szCs w:val="20"/>
              </w:rPr>
              <w:instrText xml:space="preserve"> ADDIN EN.CITE &lt;EndNote&gt;&lt;Cite&gt;&lt;Author&gt;Diabetes UK&lt;/Author&gt;&lt;Year&gt;2025&lt;/Year&gt;&lt;RecNum&gt;30242&lt;/RecNum&gt;&lt;DisplayText&gt;&lt;style face="superscript"&gt;(Diabetes UK, 2025b)&lt;/style&gt;&lt;/DisplayText&gt;&lt;record&gt;&lt;rec-number&gt;30242&lt;/rec-number&gt;&lt;foreign-keys&gt;&lt;key app="EN" db-id="f5f5va0252p5fee95pj55es3tdereta29dxz" timestamp="1767713087" guid="7ddff728-6ce3-4d5b-8e1c-354bd218561f"&gt;30242&lt;/key&gt;&lt;/foreign-keys&gt;&lt;ref-type name="Generic"&gt;13&lt;/ref-type&gt;&lt;contributors&gt;&lt;authors&gt;&lt;author&gt;Diabetes UK,&lt;/author&gt;&lt;/authors&gt;&lt;/contributors&gt;&lt;titles&gt;&lt;title&gt;New blood sugar data reveals worsening inequalities in type 1 diabetes outcomes&lt;/title&gt;&lt;/titles&gt;&lt;dates&gt;&lt;year&gt;2025&lt;/year&gt;&lt;/dates&gt;&lt;urls&gt;&lt;related-urls&gt;&lt;url&gt;https://www.diabetes.org.uk/about-us/news-and-views/new-blood-sugar-data-reveals-worsening-inequalities-type-1-diabetes&lt;/url&gt;&lt;/related-urls&gt;&lt;/urls&gt;&lt;access-date&gt;January 2026&lt;/access-date&gt;&lt;/record&gt;&lt;/Cite&gt;&lt;/EndNote&gt;</w:instrText>
            </w:r>
            <w:r w:rsidRPr="00C43185">
              <w:rPr>
                <w:rFonts w:ascii="Poppins" w:hAnsi="Poppins" w:cs="Poppins"/>
                <w:sz w:val="20"/>
                <w:szCs w:val="20"/>
              </w:rPr>
              <w:fldChar w:fldCharType="separate"/>
            </w:r>
            <w:r w:rsidRPr="00C43185">
              <w:rPr>
                <w:rFonts w:ascii="Poppins" w:hAnsi="Poppins" w:cs="Poppins"/>
                <w:noProof/>
                <w:sz w:val="20"/>
                <w:szCs w:val="20"/>
                <w:vertAlign w:val="superscript"/>
              </w:rPr>
              <w:t>(Diabetes UK, 2025b)</w:t>
            </w:r>
            <w:r w:rsidRPr="00C43185">
              <w:rPr>
                <w:rFonts w:ascii="Poppins" w:hAnsi="Poppins" w:cs="Poppins"/>
                <w:sz w:val="20"/>
                <w:szCs w:val="20"/>
              </w:rPr>
              <w:fldChar w:fldCharType="end"/>
            </w:r>
            <w:r w:rsidRPr="00C43185">
              <w:rPr>
                <w:rFonts w:ascii="Poppins" w:hAnsi="Poppins" w:cs="Poppins"/>
                <w:sz w:val="20"/>
                <w:szCs w:val="20"/>
              </w:rPr>
              <w:t xml:space="preserve">                                                                                                                  </w:t>
            </w:r>
            <w:r w:rsidRPr="00C43185">
              <w:rPr>
                <w:rFonts w:ascii="Poppins" w:hAnsi="Poppins" w:eastAsia="Times New Roman" w:cs="Poppins"/>
                <w:bCs/>
                <w:sz w:val="20"/>
                <w:szCs w:val="20"/>
              </w:rPr>
              <w:t>A study in Scotland looking at p</w:t>
            </w:r>
            <w:r w:rsidR="00481952">
              <w:rPr>
                <w:rFonts w:ascii="Poppins" w:hAnsi="Poppins" w:eastAsia="Times New Roman" w:cs="Poppins"/>
                <w:bCs/>
                <w:sz w:val="20"/>
                <w:szCs w:val="20"/>
              </w:rPr>
              <w:t>eople</w:t>
            </w:r>
            <w:r w:rsidRPr="00C43185">
              <w:rPr>
                <w:rFonts w:ascii="Poppins" w:hAnsi="Poppins" w:eastAsia="Times New Roman" w:cs="Poppins"/>
                <w:bCs/>
                <w:sz w:val="20"/>
                <w:szCs w:val="20"/>
              </w:rPr>
              <w:t xml:space="preserve"> with T1D found that those living in the most deprived areas would develop diabetes complications an estimated 5 years earlier than those in the least deprived and die eight years earlier.</w:t>
            </w:r>
            <w:r w:rsidRPr="00C43185">
              <w:rPr>
                <w:rFonts w:ascii="Poppins" w:hAnsi="Poppins" w:eastAsia="Times New Roman" w:cs="Poppins"/>
                <w:bCs/>
                <w:sz w:val="20"/>
                <w:szCs w:val="20"/>
              </w:rPr>
              <w:fldChar w:fldCharType="begin"/>
            </w:r>
            <w:r w:rsidR="008B253D">
              <w:rPr>
                <w:rFonts w:ascii="Poppins" w:hAnsi="Poppins" w:eastAsia="Times New Roman" w:cs="Poppins"/>
                <w:bCs/>
                <w:sz w:val="20"/>
                <w:szCs w:val="20"/>
              </w:rPr>
              <w:instrText xml:space="preserve"> ADDIN EN.CITE &lt;EndNote&gt;&lt;Cite&gt;&lt;Author&gt;Diabetes UK&lt;/Author&gt;&lt;Year&gt;2025&lt;/Year&gt;&lt;RecNum&gt;30242&lt;/RecNum&gt;&lt;DisplayText&gt;&lt;style face="superscript"&gt;(Diabetes UK, 2025b)&lt;/style&gt;&lt;/DisplayText&gt;&lt;record&gt;&lt;rec-number&gt;30242&lt;/rec-number&gt;&lt;foreign-keys&gt;&lt;key app="EN" db-id="f5f5va0252p5fee95pj55es3tdereta29dxz" timestamp="1767713087" guid="7ddff728-6ce3-4d5b-8e1c-354bd218561f"&gt;30242&lt;/key&gt;&lt;/foreign-keys&gt;&lt;ref-type name="Generic"&gt;13&lt;/ref-type&gt;&lt;contributors&gt;&lt;authors&gt;&lt;author&gt;Diabetes UK,&lt;/author&gt;&lt;/authors&gt;&lt;/contributors&gt;&lt;titles&gt;&lt;title&gt;New blood sugar data reveals worsening inequalities in type 1 diabetes outcomes&lt;/title&gt;&lt;/titles&gt;&lt;dates&gt;&lt;year&gt;2025&lt;/year&gt;&lt;/dates&gt;&lt;urls&gt;&lt;related-urls&gt;&lt;url&gt;https://www.diabetes.org.uk/about-us/news-and-views/new-blood-sugar-data-reveals-worsening-inequalities-type-1-diabetes&lt;/url&gt;&lt;/related-urls&gt;&lt;/urls&gt;&lt;access-date&gt;January 2026&lt;/access-date&gt;&lt;/record&gt;&lt;/Cite&gt;&lt;/EndNote&gt;</w:instrText>
            </w:r>
            <w:r w:rsidRPr="00C43185">
              <w:rPr>
                <w:rFonts w:ascii="Poppins" w:hAnsi="Poppins" w:eastAsia="Times New Roman" w:cs="Poppins"/>
                <w:bCs/>
                <w:sz w:val="20"/>
                <w:szCs w:val="20"/>
              </w:rPr>
              <w:fldChar w:fldCharType="separate"/>
            </w:r>
            <w:r w:rsidRPr="00C43185">
              <w:rPr>
                <w:rFonts w:ascii="Poppins" w:hAnsi="Poppins" w:eastAsia="Times New Roman" w:cs="Poppins"/>
                <w:bCs/>
                <w:noProof/>
                <w:sz w:val="20"/>
                <w:szCs w:val="20"/>
                <w:vertAlign w:val="superscript"/>
              </w:rPr>
              <w:t>(Diabetes UK, 2025b)</w:t>
            </w:r>
            <w:r w:rsidRPr="00C43185">
              <w:rPr>
                <w:rFonts w:ascii="Poppins" w:hAnsi="Poppins" w:eastAsia="Times New Roman" w:cs="Poppins"/>
                <w:bCs/>
                <w:sz w:val="20"/>
                <w:szCs w:val="20"/>
              </w:rPr>
              <w:fldChar w:fldCharType="end"/>
            </w:r>
            <w:r w:rsidRPr="00C43185">
              <w:rPr>
                <w:rFonts w:ascii="Poppins" w:hAnsi="Poppins" w:eastAsia="Times New Roman" w:cs="Poppins"/>
                <w:bCs/>
                <w:sz w:val="20"/>
                <w:szCs w:val="20"/>
              </w:rPr>
              <w:t xml:space="preserve"> Analysis of the National Diabetes Audit results in England from 2007 to 2023 showed that the percentage of p</w:t>
            </w:r>
            <w:r w:rsidR="00481952">
              <w:rPr>
                <w:rFonts w:ascii="Poppins" w:hAnsi="Poppins" w:eastAsia="Times New Roman" w:cs="Poppins"/>
                <w:bCs/>
                <w:sz w:val="20"/>
                <w:szCs w:val="20"/>
              </w:rPr>
              <w:t>eople</w:t>
            </w:r>
            <w:r w:rsidRPr="00C43185">
              <w:rPr>
                <w:rFonts w:ascii="Poppins" w:hAnsi="Poppins" w:eastAsia="Times New Roman" w:cs="Poppins"/>
                <w:bCs/>
                <w:sz w:val="20"/>
                <w:szCs w:val="20"/>
              </w:rPr>
              <w:t xml:space="preserve"> with an HbA1c above 58 mmol/mol had increased to 70% in the most deprived areas but had decreased to 56% in the least deprived.</w:t>
            </w:r>
            <w:r w:rsidRPr="00C43185">
              <w:rPr>
                <w:rFonts w:ascii="Poppins" w:hAnsi="Poppins" w:eastAsia="Times New Roman" w:cs="Poppins"/>
                <w:bCs/>
                <w:sz w:val="20"/>
                <w:szCs w:val="20"/>
              </w:rPr>
              <w:fldChar w:fldCharType="begin"/>
            </w:r>
            <w:r w:rsidR="008B253D">
              <w:rPr>
                <w:rFonts w:ascii="Poppins" w:hAnsi="Poppins" w:eastAsia="Times New Roman" w:cs="Poppins"/>
                <w:bCs/>
                <w:sz w:val="20"/>
                <w:szCs w:val="20"/>
              </w:rPr>
              <w:instrText xml:space="preserve"> ADDIN EN.CITE &lt;EndNote&gt;&lt;Cite&gt;&lt;Author&gt;Diabetes UK&lt;/Author&gt;&lt;Year&gt;2025&lt;/Year&gt;&lt;RecNum&gt;30242&lt;/RecNum&gt;&lt;DisplayText&gt;&lt;style face="superscript"&gt;(Diabetes UK, 2025b)&lt;/style&gt;&lt;/DisplayText&gt;&lt;record&gt;&lt;rec-number&gt;30242&lt;/rec-number&gt;&lt;foreign-keys&gt;&lt;key app="EN" db-id="f5f5va0252p5fee95pj55es3tdereta29dxz" timestamp="1767713087" guid="7ddff728-6ce3-4d5b-8e1c-354bd218561f"&gt;30242&lt;/key&gt;&lt;/foreign-keys&gt;&lt;ref-type name="Generic"&gt;13&lt;/ref-type&gt;&lt;contributors&gt;&lt;authors&gt;&lt;author&gt;Diabetes UK,&lt;/author&gt;&lt;/authors&gt;&lt;/contributors&gt;&lt;titles&gt;&lt;title&gt;New blood sugar data reveals worsening inequalities in type 1 diabetes outcomes&lt;/title&gt;&lt;/titles&gt;&lt;dates&gt;&lt;year&gt;2025&lt;/year&gt;&lt;/dates&gt;&lt;urls&gt;&lt;related-urls&gt;&lt;url&gt;https://www.diabetes.org.uk/about-us/news-and-views/new-blood-sugar-data-reveals-worsening-inequalities-type-1-diabetes&lt;/url&gt;&lt;/related-urls&gt;&lt;/urls&gt;&lt;access-date&gt;January 2026&lt;/access-date&gt;&lt;/record&gt;&lt;/Cite&gt;&lt;/EndNote&gt;</w:instrText>
            </w:r>
            <w:r w:rsidRPr="00C43185">
              <w:rPr>
                <w:rFonts w:ascii="Poppins" w:hAnsi="Poppins" w:eastAsia="Times New Roman" w:cs="Poppins"/>
                <w:bCs/>
                <w:sz w:val="20"/>
                <w:szCs w:val="20"/>
              </w:rPr>
              <w:fldChar w:fldCharType="separate"/>
            </w:r>
            <w:r w:rsidRPr="00C43185">
              <w:rPr>
                <w:rFonts w:ascii="Poppins" w:hAnsi="Poppins" w:eastAsia="Times New Roman" w:cs="Poppins"/>
                <w:bCs/>
                <w:noProof/>
                <w:sz w:val="20"/>
                <w:szCs w:val="20"/>
                <w:vertAlign w:val="superscript"/>
              </w:rPr>
              <w:t>(Diabetes UK, 2025b)</w:t>
            </w:r>
            <w:r w:rsidRPr="00C43185">
              <w:rPr>
                <w:rFonts w:ascii="Poppins" w:hAnsi="Poppins" w:eastAsia="Times New Roman" w:cs="Poppins"/>
                <w:bCs/>
                <w:sz w:val="20"/>
                <w:szCs w:val="20"/>
              </w:rPr>
              <w:fldChar w:fldCharType="end"/>
            </w:r>
            <w:r w:rsidR="00D030D0">
              <w:rPr>
                <w:rFonts w:ascii="Poppins" w:hAnsi="Poppins" w:eastAsia="Times New Roman" w:cs="Poppins"/>
                <w:bCs/>
                <w:sz w:val="20"/>
                <w:szCs w:val="20"/>
              </w:rPr>
              <w:t xml:space="preserve"> The National Paediatric Diabetes Audit also shows similar pattern of worse outcomes for the most deprived areas vs the least deprived and for those from ethnic minority groups.</w:t>
            </w:r>
            <w:r w:rsidR="00D030D0">
              <w:rPr>
                <w:rFonts w:ascii="Poppins" w:hAnsi="Poppins" w:eastAsia="Times New Roman" w:cs="Poppins"/>
                <w:bCs/>
                <w:sz w:val="20"/>
                <w:szCs w:val="20"/>
              </w:rPr>
              <w:fldChar w:fldCharType="begin"/>
            </w:r>
            <w:r w:rsidR="008B253D">
              <w:rPr>
                <w:rFonts w:ascii="Poppins" w:hAnsi="Poppins" w:eastAsia="Times New Roman" w:cs="Poppins"/>
                <w:bCs/>
                <w:sz w:val="20"/>
                <w:szCs w:val="20"/>
              </w:rPr>
              <w:instrText xml:space="preserve"> ADDIN EN.CITE &lt;EndNote&gt;&lt;Cite&gt;&lt;Author&gt;RCPCH&lt;/Author&gt;&lt;Year&gt;2026&lt;/Year&gt;&lt;RecNum&gt;30348&lt;/RecNum&gt;&lt;DisplayText&gt;&lt;style face="superscript"&gt;(RCPCH, 2026)&lt;/style&gt;&lt;/DisplayText&gt;&lt;record&gt;&lt;rec-number&gt;30348&lt;/rec-number&gt;&lt;foreign-keys&gt;&lt;key app="EN" db-id="f5f5va0252p5fee95pj55es3tdereta29dxz" timestamp="1773677108" guid="d8514cdb-cc9a-4591-a5e6-3bd9627ff38f"&gt;30348&lt;/key&gt;&lt;/foreign-keys&gt;&lt;ref-type name="Generic"&gt;13&lt;/ref-type&gt;&lt;contributors&gt;&lt;authors&gt;&lt;author&gt;RCPCH,&lt;/author&gt;&lt;/authors&gt;&lt;/contributors&gt;&lt;titles&gt;&lt;title&gt;National Paediatric Diabetes Audit (NPDA) Report on Care and Outcomes 2024/25&lt;/title&gt;&lt;/titles&gt;&lt;dates&gt;&lt;year&gt;2026&lt;/year&gt;&lt;/dates&gt;&lt;urls&gt;&lt;related-urls&gt;&lt;url&gt;https://www.rcpch.ac.uk/sites/default/files/2026-03/npda_2024-25_report_on_care_and_outcomes.pdf&lt;/url&gt;&lt;/related-urls&gt;&lt;/urls&gt;&lt;access-date&gt;March 2026&lt;/access-date&gt;&lt;/record&gt;&lt;/Cite&gt;&lt;/EndNote&gt;</w:instrText>
            </w:r>
            <w:r w:rsidR="00D030D0">
              <w:rPr>
                <w:rFonts w:ascii="Poppins" w:hAnsi="Poppins" w:eastAsia="Times New Roman" w:cs="Poppins"/>
                <w:bCs/>
                <w:sz w:val="20"/>
                <w:szCs w:val="20"/>
              </w:rPr>
              <w:fldChar w:fldCharType="separate"/>
            </w:r>
            <w:r w:rsidRPr="00D030D0" w:rsidR="00D030D0">
              <w:rPr>
                <w:rFonts w:ascii="Poppins" w:hAnsi="Poppins" w:eastAsia="Times New Roman" w:cs="Poppins"/>
                <w:bCs/>
                <w:noProof/>
                <w:sz w:val="20"/>
                <w:szCs w:val="20"/>
                <w:vertAlign w:val="superscript"/>
              </w:rPr>
              <w:t>(RCPCH, 2026)</w:t>
            </w:r>
            <w:r w:rsidR="00D030D0">
              <w:rPr>
                <w:rFonts w:ascii="Poppins" w:hAnsi="Poppins" w:eastAsia="Times New Roman" w:cs="Poppins"/>
                <w:bCs/>
                <w:sz w:val="20"/>
                <w:szCs w:val="20"/>
              </w:rPr>
              <w:fldChar w:fldCharType="end"/>
            </w:r>
            <w:r w:rsidR="00D030D0">
              <w:rPr>
                <w:rFonts w:ascii="Poppins" w:hAnsi="Poppins" w:eastAsia="Times New Roman" w:cs="Poppins"/>
                <w:bCs/>
                <w:sz w:val="20"/>
                <w:szCs w:val="20"/>
              </w:rPr>
              <w:t xml:space="preserve"> </w:t>
            </w:r>
            <w:r w:rsidRPr="00C43185">
              <w:rPr>
                <w:rFonts w:ascii="Poppins" w:hAnsi="Poppins" w:eastAsia="Times New Roman" w:cs="Poppins"/>
                <w:bCs/>
                <w:sz w:val="20"/>
                <w:szCs w:val="20"/>
              </w:rPr>
              <w:t xml:space="preserve"> </w:t>
            </w:r>
            <w:bookmarkStart w:name="_Hlk220426594" w:id="4"/>
            <w:r w:rsidRPr="00C43185">
              <w:rPr>
                <w:rFonts w:ascii="Poppins" w:hAnsi="Poppins" w:eastAsia="Times New Roman" w:cs="Poppins"/>
                <w:bCs/>
                <w:sz w:val="20"/>
                <w:szCs w:val="20"/>
              </w:rPr>
              <w:t>A proactive focus has been suggested as a means of addressing health inequalities and its impact on health outcomes.</w:t>
            </w:r>
            <w:r w:rsidRPr="00C43185">
              <w:rPr>
                <w:rFonts w:ascii="Poppins" w:hAnsi="Poppins" w:eastAsia="Times New Roman" w:cs="Poppins"/>
                <w:bCs/>
                <w:sz w:val="20"/>
                <w:szCs w:val="20"/>
              </w:rPr>
              <w:fldChar w:fldCharType="begin"/>
            </w:r>
            <w:r w:rsidRPr="00C43185">
              <w:rPr>
                <w:rFonts w:ascii="Poppins" w:hAnsi="Poppins" w:eastAsia="Times New Roman" w:cs="Poppins"/>
                <w:bCs/>
                <w:sz w:val="20"/>
                <w:szCs w:val="20"/>
              </w:rPr>
              <w:instrText xml:space="preserve"> ADDIN EN.CITE &lt;EndNote&gt;&lt;Cite&gt;&lt;Author&gt;The King&amp;apos;s Fund&lt;/Author&gt;&lt;Year&gt;2024&lt;/Year&gt;&lt;RecNum&gt;29507&lt;/RecNum&gt;&lt;DisplayText&gt;&lt;style face="superscript"&gt;(The King&amp;apos;s Fund, 2024)&lt;/style&gt;&lt;/DisplayText&gt;&lt;record&gt;&lt;rec-number&gt;29507&lt;/rec-number&gt;&lt;foreign-keys&gt;&lt;key app="EN" db-id="f5f5va0252p5fee95pj55es3tdereta29dxz" timestamp="1750446616" guid="ec733d6b-8e48-44fa-b163-2b9270044469"&gt;29507&lt;/key&gt;&lt;/foreign-keys&gt;&lt;ref-type name="Generic"&gt;13&lt;/ref-type&gt;&lt;contributors&gt;&lt;authors&gt;&lt;author&gt;The King&amp;apos;s Fund,&lt;/author&gt;&lt;/authors&gt;&lt;/contributors&gt;&lt;titles&gt;&lt;title&gt;Tackling health inequalities: seven priorities for the NHS&lt;/title&gt;&lt;/titles&gt;&lt;dates&gt;&lt;year&gt;2024&lt;/year&gt;&lt;/dates&gt;&lt;urls&gt;&lt;related-urls&gt;&lt;url&gt;https://www.kingsfund.org.uk/insight-and-analysis/long-reads/tackling-health-inequalities-seven-priorities-nhs&lt;/url&gt;&lt;/related-urls&gt;&lt;/urls&gt;&lt;access-date&gt;June 2025&lt;/access-date&gt;&lt;/record&gt;&lt;/Cite&gt;&lt;/EndNote&gt;</w:instrText>
            </w:r>
            <w:r w:rsidRPr="00C43185">
              <w:rPr>
                <w:rFonts w:ascii="Poppins" w:hAnsi="Poppins" w:eastAsia="Times New Roman" w:cs="Poppins"/>
                <w:bCs/>
                <w:sz w:val="20"/>
                <w:szCs w:val="20"/>
              </w:rPr>
              <w:fldChar w:fldCharType="separate"/>
            </w:r>
            <w:r w:rsidRPr="00C43185">
              <w:rPr>
                <w:rFonts w:ascii="Poppins" w:hAnsi="Poppins" w:eastAsia="Times New Roman" w:cs="Poppins"/>
                <w:bCs/>
                <w:noProof/>
                <w:sz w:val="20"/>
                <w:szCs w:val="20"/>
                <w:vertAlign w:val="superscript"/>
              </w:rPr>
              <w:t>(The King's Fund, 2024)</w:t>
            </w:r>
            <w:r w:rsidRPr="00C43185">
              <w:rPr>
                <w:rFonts w:ascii="Poppins" w:hAnsi="Poppins" w:eastAsia="Times New Roman" w:cs="Poppins"/>
                <w:bCs/>
                <w:sz w:val="20"/>
                <w:szCs w:val="20"/>
              </w:rPr>
              <w:fldChar w:fldCharType="end"/>
            </w:r>
            <w:bookmarkEnd w:id="4"/>
          </w:p>
          <w:p w:rsidR="00B146B6" w:rsidP="001B36EE" w:rsidRDefault="00B146B6" w14:paraId="30AEE346" w14:textId="46C19BAC">
            <w:pPr>
              <w:spacing w:after="60"/>
              <w:rPr>
                <w:rFonts w:ascii="Poppins" w:hAnsi="Poppins" w:eastAsia="Times New Roman" w:cs="Poppins"/>
                <w:bCs/>
                <w:sz w:val="20"/>
                <w:szCs w:val="20"/>
              </w:rPr>
            </w:pPr>
            <w:r w:rsidRPr="00C43185">
              <w:rPr>
                <w:rFonts w:ascii="Poppins" w:hAnsi="Poppins" w:eastAsia="Times New Roman" w:cs="Poppins"/>
                <w:bCs/>
                <w:sz w:val="20"/>
                <w:szCs w:val="20"/>
              </w:rPr>
              <w:t>The ’Delivering a Net Zero NHS’ plan covers a variety of areas including medicines, travel and transport.</w:t>
            </w:r>
            <w:r w:rsidRPr="00C43185">
              <w:rPr>
                <w:rFonts w:ascii="Poppins" w:hAnsi="Poppins" w:eastAsia="Times New Roman" w:cs="Poppins"/>
                <w:bCs/>
                <w:sz w:val="20"/>
                <w:szCs w:val="20"/>
              </w:rPr>
              <w:fldChar w:fldCharType="begin"/>
            </w:r>
            <w:r w:rsidRPr="00C43185">
              <w:rPr>
                <w:rFonts w:ascii="Poppins" w:hAnsi="Poppins" w:eastAsia="Times New Roman" w:cs="Poppins"/>
                <w:bCs/>
                <w:sz w:val="20"/>
                <w:szCs w:val="20"/>
              </w:rPr>
              <w:instrText xml:space="preserve"> ADDIN EN.CITE &lt;EndNote&gt;&lt;Cite&gt;&lt;Author&gt;NHS England&lt;/Author&gt;&lt;Year&gt;2022&lt;/Year&gt;&lt;RecNum&gt;28085&lt;/RecNum&gt;&lt;DisplayText&gt;&lt;style face="superscript"&gt;(NHS England, 2022)&lt;/style&gt;&lt;/DisplayText&gt;&lt;record&gt;&lt;rec-number&gt;28085&lt;/rec-number&gt;&lt;foreign-keys&gt;&lt;key app="EN" db-id="f5f5va0252p5fee95pj55es3tdereta29dxz" timestamp="1720018440" guid="3abf081e-ebe6-47a9-8581-5947990d4868"&gt;28085&lt;/key&gt;&lt;/foreign-keys&gt;&lt;ref-type name="Generic"&gt;13&lt;/ref-type&gt;&lt;contributors&gt;&lt;authors&gt;&lt;author&gt;NHS England,&lt;/author&gt;&lt;/authors&gt;&lt;/contributors&gt;&lt;titles&gt;&lt;title&gt;Delivering a ‘Net Zero’ National Health Service&lt;/title&gt;&lt;/titles&gt;&lt;dates&gt;&lt;year&gt;2022&lt;/year&gt;&lt;/dates&gt;&lt;urls&gt;&lt;related-urls&gt;&lt;url&gt;https://www.england.nhs.uk/greenernhs/wp-content/uploads/sites/51/2022/07/B1728-delivering-a-net-zero-nhs-july-2022.pdf&lt;/url&gt;&lt;/related-urls&gt;&lt;/urls&gt;&lt;access-date&gt;July 2024&lt;/access-date&gt;&lt;/record&gt;&lt;/Cite&gt;&lt;/EndNote&gt;</w:instrText>
            </w:r>
            <w:r w:rsidRPr="00C43185">
              <w:rPr>
                <w:rFonts w:ascii="Poppins" w:hAnsi="Poppins" w:eastAsia="Times New Roman" w:cs="Poppins"/>
                <w:bCs/>
                <w:sz w:val="20"/>
                <w:szCs w:val="20"/>
              </w:rPr>
              <w:fldChar w:fldCharType="separate"/>
            </w:r>
            <w:r w:rsidRPr="00C43185">
              <w:rPr>
                <w:rFonts w:ascii="Poppins" w:hAnsi="Poppins" w:eastAsia="Times New Roman" w:cs="Poppins"/>
                <w:bCs/>
                <w:noProof/>
                <w:sz w:val="20"/>
                <w:szCs w:val="20"/>
                <w:vertAlign w:val="superscript"/>
              </w:rPr>
              <w:t>(NHS England, 2022)</w:t>
            </w:r>
            <w:r w:rsidRPr="00C43185">
              <w:rPr>
                <w:rFonts w:ascii="Poppins" w:hAnsi="Poppins" w:eastAsia="Times New Roman" w:cs="Poppins"/>
                <w:bCs/>
                <w:sz w:val="20"/>
                <w:szCs w:val="20"/>
              </w:rPr>
              <w:fldChar w:fldCharType="end"/>
            </w:r>
            <w:r w:rsidRPr="00C43185">
              <w:rPr>
                <w:rFonts w:ascii="Poppins" w:hAnsi="Poppins" w:eastAsia="Times New Roman" w:cs="Poppins"/>
                <w:bCs/>
                <w:sz w:val="20"/>
                <w:szCs w:val="20"/>
              </w:rPr>
              <w:t xml:space="preserve"> Delaying disease progression </w:t>
            </w:r>
            <w:r w:rsidR="00C2092B">
              <w:rPr>
                <w:rFonts w:ascii="Poppins" w:hAnsi="Poppins" w:eastAsia="Times New Roman" w:cs="Poppins"/>
                <w:bCs/>
                <w:sz w:val="20"/>
                <w:szCs w:val="20"/>
              </w:rPr>
              <w:t>provides opportunities to reduce carbon emissions</w:t>
            </w:r>
            <w:r w:rsidRPr="00C43185">
              <w:rPr>
                <w:rFonts w:ascii="Poppins" w:hAnsi="Poppins" w:eastAsia="Times New Roman" w:cs="Poppins"/>
                <w:bCs/>
                <w:sz w:val="20"/>
                <w:szCs w:val="20"/>
              </w:rPr>
              <w:t xml:space="preserve"> through reduced requirements for healthcare service input</w:t>
            </w:r>
            <w:r w:rsidR="00D030D0">
              <w:rPr>
                <w:rFonts w:ascii="Poppins" w:hAnsi="Poppins" w:eastAsia="Times New Roman" w:cs="Poppins"/>
                <w:bCs/>
                <w:sz w:val="20"/>
                <w:szCs w:val="20"/>
              </w:rPr>
              <w:t xml:space="preserve"> and use of non-recyclable consumables</w:t>
            </w:r>
            <w:r w:rsidRPr="00C43185">
              <w:rPr>
                <w:rFonts w:ascii="Poppins" w:hAnsi="Poppins" w:eastAsia="Times New Roman" w:cs="Poppins"/>
                <w:bCs/>
                <w:sz w:val="20"/>
                <w:szCs w:val="20"/>
              </w:rPr>
              <w:t>.</w:t>
            </w:r>
            <w:r w:rsidR="00D030D0">
              <w:rPr>
                <w:rFonts w:ascii="Poppins" w:hAnsi="Poppins" w:eastAsia="Times New Roman" w:cs="Poppins"/>
                <w:bCs/>
                <w:sz w:val="20"/>
                <w:szCs w:val="20"/>
              </w:rPr>
              <w:fldChar w:fldCharType="begin"/>
            </w:r>
            <w:r w:rsidR="00D030D0">
              <w:rPr>
                <w:rFonts w:ascii="Poppins" w:hAnsi="Poppins" w:eastAsia="Times New Roman" w:cs="Poppins"/>
                <w:bCs/>
                <w:sz w:val="20"/>
                <w:szCs w:val="20"/>
              </w:rPr>
              <w:instrText xml:space="preserve"> ADDIN EN.CITE &lt;EndNote&gt;&lt;Cite&gt;&lt;Author&gt;Faculty of Public Health&lt;/Author&gt;&lt;Year&gt;2024&lt;/Year&gt;&lt;RecNum&gt;29317&lt;/RecNum&gt;&lt;DisplayText&gt;&lt;style face="superscript"&gt;(Faculty of Public Health, 2024; BMC Medicine, 2023)&lt;/style&gt;&lt;/DisplayText&gt;&lt;record&gt;&lt;rec-number&gt;29317&lt;/rec-number&gt;&lt;foreign-keys&gt;&lt;key app="EN" db-id="f5f5va0252p5fee95pj55es3tdereta29dxz" timestamp="1745952459" guid="8cec27ff-7868-43fa-b302-fe68803a461e"&gt;29317&lt;/key&gt;&lt;/foreign-keys&gt;&lt;ref-type name="Generic"&gt;13&lt;/ref-type&gt;&lt;contributors&gt;&lt;authors&gt;&lt;author&gt;Faculty of Public Health,&lt;/author&gt;&lt;/authors&gt;&lt;/contributors&gt;&lt;titles&gt;&lt;title&gt;The role of the NHS in prevention&lt;/title&gt;&lt;/titles&gt;&lt;dates&gt;&lt;year&gt;2024&lt;/year&gt;&lt;/dates&gt;&lt;urls&gt;&lt;related-urls&gt;&lt;url&gt;https://www.fph.org.uk/media/u1ofhkao/fph-the-role-of-the-nhs-in-prevention.pdf&lt;/url&gt;&lt;/related-urls&gt;&lt;/urls&gt;&lt;access-date&gt;May 2025&lt;/access-date&gt;&lt;/record&gt;&lt;/Cite&gt;&lt;Cite&gt;&lt;Author&gt;BMC Medicine&lt;/Author&gt;&lt;Year&gt;2023&lt;/Year&gt;&lt;RecNum&gt;29469&lt;/RecNum&gt;&lt;record&gt;&lt;rec-number&gt;29469&lt;/rec-number&gt;&lt;foreign-keys&gt;&lt;key app="EN" db-id="f5f5va0252p5fee95pj55es3tdereta29dxz" timestamp="1750088120" guid="d51b6143-6ee4-497e-a756-b9bd8e1653c2"&gt;29469&lt;/key&gt;&lt;/foreign-keys&gt;&lt;ref-type name="Journal Article"&gt;17&lt;/ref-type&gt;&lt;contributors&gt;&lt;authors&gt;&lt;author&gt;BMC Medicine,&lt;/author&gt;&lt;/authors&gt;&lt;/contributors&gt;&lt;titles&gt;&lt;title&gt;Diabetes and climate change: breaking the vicious cycle&lt;/title&gt;&lt;secondary-title&gt;BMC Medicine&lt;/secondary-title&gt;&lt;/titles&gt;&lt;periodical&gt;&lt;full-title&gt;BMC Medicine&lt;/full-title&gt;&lt;/periodical&gt;&lt;pages&gt;281&lt;/pages&gt;&lt;volume&gt;21&lt;/volume&gt;&lt;number&gt;1&lt;/number&gt;&lt;dates&gt;&lt;year&gt;2023&lt;/year&gt;&lt;/dates&gt;&lt;publisher&gt;Springer Science and Business Media LLC&lt;/publisher&gt;&lt;isbn&gt;1741-7015&lt;/isbn&gt;&lt;urls&gt;&lt;related-urls&gt;&lt;url&gt;https://dx.doi.org/10.1186/s12916-023-02980-x&lt;/url&gt;&lt;/related-urls&gt;&lt;/urls&gt;&lt;electronic-resource-num&gt;10.1186/s12916-023-02980-x&lt;/electronic-resource-num&gt;&lt;/record&gt;&lt;/Cite&gt;&lt;/EndNote&gt;</w:instrText>
            </w:r>
            <w:r w:rsidR="00D030D0">
              <w:rPr>
                <w:rFonts w:ascii="Poppins" w:hAnsi="Poppins" w:eastAsia="Times New Roman" w:cs="Poppins"/>
                <w:bCs/>
                <w:sz w:val="20"/>
                <w:szCs w:val="20"/>
              </w:rPr>
              <w:fldChar w:fldCharType="separate"/>
            </w:r>
            <w:r w:rsidRPr="00D030D0" w:rsidR="00D030D0">
              <w:rPr>
                <w:rFonts w:ascii="Poppins" w:hAnsi="Poppins" w:eastAsia="Times New Roman" w:cs="Poppins"/>
                <w:bCs/>
                <w:noProof/>
                <w:sz w:val="20"/>
                <w:szCs w:val="20"/>
                <w:vertAlign w:val="superscript"/>
              </w:rPr>
              <w:t>(Faculty of Public Health, 2024; BMC Medicine, 2023)</w:t>
            </w:r>
            <w:r w:rsidR="00D030D0">
              <w:rPr>
                <w:rFonts w:ascii="Poppins" w:hAnsi="Poppins" w:eastAsia="Times New Roman" w:cs="Poppins"/>
                <w:bCs/>
                <w:sz w:val="20"/>
                <w:szCs w:val="20"/>
              </w:rPr>
              <w:fldChar w:fldCharType="end"/>
            </w:r>
          </w:p>
          <w:p w:rsidRPr="00C43185" w:rsidR="00B146B6" w:rsidP="001B36EE" w:rsidRDefault="00B146B6" w14:paraId="50E8F3DE" w14:textId="2FFF815F">
            <w:pPr>
              <w:spacing w:after="60"/>
              <w:rPr>
                <w:rFonts w:ascii="Poppins" w:hAnsi="Poppins" w:eastAsia="Times New Roman" w:cs="Poppins"/>
                <w:bCs/>
                <w:sz w:val="20"/>
                <w:szCs w:val="20"/>
              </w:rPr>
            </w:pPr>
            <w:r w:rsidRPr="00C43185">
              <w:rPr>
                <w:rFonts w:ascii="Poppins" w:hAnsi="Poppins" w:eastAsia="Times New Roman" w:cs="Poppins"/>
                <w:bCs/>
                <w:sz w:val="20"/>
                <w:szCs w:val="20"/>
              </w:rPr>
              <w:t>Innovation is key to the future of the NHS. The ambition for the NHS to lead the world of innovative medicines is laid out in the 10-year plan. The benefits of p</w:t>
            </w:r>
            <w:r w:rsidR="00481952">
              <w:rPr>
                <w:rFonts w:ascii="Poppins" w:hAnsi="Poppins" w:eastAsia="Times New Roman" w:cs="Poppins"/>
                <w:bCs/>
                <w:sz w:val="20"/>
                <w:szCs w:val="20"/>
              </w:rPr>
              <w:t>eople</w:t>
            </w:r>
            <w:r w:rsidRPr="00C43185">
              <w:rPr>
                <w:rFonts w:ascii="Poppins" w:hAnsi="Poppins" w:eastAsia="Times New Roman" w:cs="Poppins"/>
                <w:bCs/>
                <w:sz w:val="20"/>
                <w:szCs w:val="20"/>
              </w:rPr>
              <w:t xml:space="preserve"> having fast access to these medicines reaches beyond their impact on health to those for society and the economy, including helping people stay in productive work.</w:t>
            </w:r>
            <w:r w:rsidRPr="00C43185">
              <w:rPr>
                <w:rFonts w:ascii="Poppins" w:hAnsi="Poppins" w:eastAsia="Times New Roman" w:cs="Poppins"/>
                <w:bCs/>
                <w:sz w:val="20"/>
                <w:szCs w:val="20"/>
              </w:rPr>
              <w:fldChar w:fldCharType="begin"/>
            </w:r>
            <w:r w:rsidRPr="00C43185">
              <w:rPr>
                <w:rFonts w:ascii="Poppins" w:hAnsi="Poppins" w:eastAsia="Times New Roman" w:cs="Poppins"/>
                <w:bCs/>
                <w:sz w:val="20"/>
                <w:szCs w:val="20"/>
              </w:rPr>
              <w:instrText xml:space="preserve"> ADDIN EN.CITE &lt;EndNote&gt;&lt;Cite&gt;&lt;Author&gt;UK Government&lt;/Author&gt;&lt;Year&gt;2025&lt;/Year&gt;&lt;RecNum&gt;29539&lt;/RecNum&gt;&lt;DisplayText&gt;&lt;style face="superscript"&gt;(UK Government, 2025)&lt;/style&gt;&lt;/DisplayText&gt;&lt;record&gt;&lt;rec-number&gt;29539&lt;/rec-number&gt;&lt;foreign-keys&gt;&lt;key app="EN" db-id="f5f5va0252p5fee95pj55es3tdereta29dxz" timestamp="1751556526" guid="4ddfd7b3-049e-4669-86bc-3c7ba6143adf"&gt;29539&lt;/key&gt;&lt;/foreign-keys&gt;&lt;ref-type name="Electronic Article"&gt;43&lt;/ref-type&gt;&lt;contributors&gt;&lt;authors&gt;&lt;author&gt;UK Government, &lt;/author&gt;&lt;/authors&gt;&lt;/contributors&gt;&lt;titles&gt;&lt;title&gt;Fit for the future: 10 year Health Plan for England&lt;/title&gt;&lt;/titles&gt;&lt;dates&gt;&lt;year&gt;2025&lt;/year&gt;&lt;pub-dates&gt;&lt;date&gt;August 2025&lt;/date&gt;&lt;/pub-dates&gt;&lt;/dates&gt;&lt;urls&gt;&lt;related-urls&gt;&lt;url&gt;https://assets.publishing.service.gov.uk/media/6866387fe6557c544c74db7a/fit-for-the-future-10-year-health-plan-for-england.pdf&lt;/url&gt;&lt;/related-urls&gt;&lt;/urls&gt;&lt;/record&gt;&lt;/Cite&gt;&lt;/EndNote&gt;</w:instrText>
            </w:r>
            <w:r w:rsidRPr="00C43185">
              <w:rPr>
                <w:rFonts w:ascii="Poppins" w:hAnsi="Poppins" w:eastAsia="Times New Roman" w:cs="Poppins"/>
                <w:bCs/>
                <w:sz w:val="20"/>
                <w:szCs w:val="20"/>
              </w:rPr>
              <w:fldChar w:fldCharType="separate"/>
            </w:r>
            <w:r w:rsidRPr="00C43185">
              <w:rPr>
                <w:rFonts w:ascii="Poppins" w:hAnsi="Poppins" w:eastAsia="Times New Roman" w:cs="Poppins"/>
                <w:bCs/>
                <w:noProof/>
                <w:sz w:val="20"/>
                <w:szCs w:val="20"/>
                <w:vertAlign w:val="superscript"/>
              </w:rPr>
              <w:t>(UK Government, 2025)</w:t>
            </w:r>
            <w:r w:rsidRPr="00C43185">
              <w:rPr>
                <w:rFonts w:ascii="Poppins" w:hAnsi="Poppins" w:eastAsia="Times New Roman" w:cs="Poppins"/>
                <w:bCs/>
                <w:sz w:val="20"/>
                <w:szCs w:val="20"/>
              </w:rPr>
              <w:fldChar w:fldCharType="end"/>
            </w:r>
            <w:r w:rsidRPr="00C43185">
              <w:rPr>
                <w:rFonts w:ascii="Poppins" w:hAnsi="Poppins" w:eastAsia="Times New Roman" w:cs="Poppins"/>
                <w:bCs/>
                <w:sz w:val="20"/>
                <w:szCs w:val="20"/>
              </w:rPr>
              <w:t xml:space="preserve"> This business case supports the introduction of an innovative medicine for p</w:t>
            </w:r>
            <w:r w:rsidR="00481952">
              <w:rPr>
                <w:rFonts w:ascii="Poppins" w:hAnsi="Poppins" w:eastAsia="Times New Roman" w:cs="Poppins"/>
                <w:bCs/>
                <w:sz w:val="20"/>
                <w:szCs w:val="20"/>
              </w:rPr>
              <w:t>eople</w:t>
            </w:r>
            <w:r w:rsidRPr="00C43185">
              <w:rPr>
                <w:rFonts w:ascii="Poppins" w:hAnsi="Poppins" w:eastAsia="Times New Roman" w:cs="Poppins"/>
                <w:bCs/>
                <w:sz w:val="20"/>
                <w:szCs w:val="20"/>
              </w:rPr>
              <w:t xml:space="preserve"> in our Integrated Care System (ICS) and therefore aligns to this ambition.</w:t>
            </w:r>
          </w:p>
          <w:p w:rsidRPr="00C43185" w:rsidR="00B146B6" w:rsidP="001B36EE" w:rsidRDefault="00B146B6" w14:paraId="28F7695C" w14:textId="3F554D4E">
            <w:pPr>
              <w:spacing w:after="60"/>
              <w:rPr>
                <w:rFonts w:ascii="Poppins" w:hAnsi="Poppins" w:cs="Poppins"/>
                <w:sz w:val="20"/>
                <w:szCs w:val="20"/>
              </w:rPr>
            </w:pPr>
            <w:r w:rsidRPr="00C43185">
              <w:rPr>
                <w:rFonts w:ascii="Poppins" w:hAnsi="Poppins" w:eastAsia="Times New Roman" w:cs="Poppins"/>
                <w:bCs/>
                <w:sz w:val="20"/>
                <w:szCs w:val="20"/>
              </w:rPr>
              <w:t xml:space="preserve"> </w:t>
            </w:r>
            <w:r w:rsidRPr="00C43185">
              <w:rPr>
                <w:rFonts w:ascii="Poppins" w:hAnsi="Poppins" w:eastAsia="Calibri" w:cs="Poppins"/>
                <w:color w:val="A6A6A6" w:themeColor="background1" w:themeShade="A6"/>
                <w:sz w:val="20"/>
                <w:szCs w:val="20"/>
              </w:rPr>
              <w:t>&lt;Insert any local priorities that support the strategic fit for the service being delivered in your Trust/ICS&gt;</w:t>
            </w:r>
          </w:p>
        </w:tc>
      </w:tr>
    </w:tbl>
    <w:p w:rsidR="00B146B6" w:rsidP="001B36EE" w:rsidRDefault="00B146B6" w14:paraId="1797A70E" w14:textId="77777777">
      <w:pPr>
        <w:spacing w:line="240" w:lineRule="auto"/>
      </w:pPr>
    </w:p>
    <w:tbl>
      <w:tblPr>
        <w:tblStyle w:val="TableGrid"/>
        <w:tblW w:w="8772" w:type="dxa"/>
        <w:tblInd w:w="-142" w:type="dxa"/>
        <w:tblBorders>
          <w:top w:val="single" w:color="0023C8" w:sz="4" w:space="0"/>
          <w:left w:val="single" w:color="0023C8" w:sz="4" w:space="0"/>
          <w:bottom w:val="single" w:color="0023C8" w:sz="4" w:space="0"/>
          <w:right w:val="single" w:color="0023C8" w:sz="4" w:space="0"/>
          <w:insideH w:val="single" w:color="D9D9D9" w:themeColor="background1" w:themeShade="D9" w:sz="4" w:space="0"/>
          <w:insideV w:val="none" w:color="auto" w:sz="0" w:space="0"/>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Pr="00C43185" w:rsidR="00B146B6" w:rsidTr="007624A2" w14:paraId="2961D6B2" w14:textId="77777777">
        <w:tc>
          <w:tcPr>
            <w:tcW w:w="8772" w:type="dxa"/>
          </w:tcPr>
          <w:p w:rsidRPr="00B146B6" w:rsidR="00B146B6" w:rsidP="001B36EE" w:rsidRDefault="00B146B6" w14:paraId="1EEB6132" w14:textId="77777777">
            <w:pPr>
              <w:pStyle w:val="Heading2"/>
              <w:spacing w:before="0" w:after="60"/>
              <w:rPr>
                <w:rFonts w:ascii="Poppins" w:hAnsi="Poppins" w:cs="Poppins"/>
                <w:color w:val="0023C8"/>
              </w:rPr>
            </w:pPr>
            <w:bookmarkStart w:name="_Toc229391528" w:id="5"/>
            <w:r w:rsidRPr="00B146B6">
              <w:rPr>
                <w:rFonts w:ascii="Poppins" w:hAnsi="Poppins" w:cs="Poppins"/>
                <w:color w:val="0023C8"/>
              </w:rPr>
              <w:t>2.2 Case for change</w:t>
            </w:r>
            <w:bookmarkEnd w:id="5"/>
          </w:p>
          <w:p w:rsidRPr="007624A2" w:rsidR="00B146B6" w:rsidP="001B36EE" w:rsidRDefault="00B146B6" w14:paraId="3EF355E5" w14:textId="7D35F8CF">
            <w:pPr>
              <w:spacing w:after="60"/>
              <w:rPr>
                <w:rFonts w:ascii="Poppins" w:hAnsi="Poppins" w:eastAsia="Times New Roman" w:cs="Poppins"/>
                <w:spacing w:val="-4"/>
                <w:sz w:val="20"/>
                <w:szCs w:val="20"/>
              </w:rPr>
            </w:pPr>
            <w:r w:rsidRPr="007624A2">
              <w:rPr>
                <w:rFonts w:ascii="Poppins" w:hAnsi="Poppins" w:eastAsia="Times New Roman" w:cs="Poppins"/>
                <w:bCs/>
                <w:spacing w:val="-4"/>
                <w:sz w:val="20"/>
                <w:szCs w:val="20"/>
              </w:rPr>
              <w:t xml:space="preserve">Symptoms of T1D </w:t>
            </w:r>
            <w:r w:rsidR="00A66804">
              <w:rPr>
                <w:rFonts w:ascii="Poppins" w:hAnsi="Poppins" w:eastAsia="Times New Roman" w:cs="Poppins"/>
                <w:bCs/>
                <w:spacing w:val="-4"/>
                <w:sz w:val="20"/>
                <w:szCs w:val="20"/>
              </w:rPr>
              <w:t xml:space="preserve">may </w:t>
            </w:r>
            <w:r w:rsidRPr="007624A2">
              <w:rPr>
                <w:rFonts w:ascii="Poppins" w:hAnsi="Poppins" w:eastAsia="Times New Roman" w:cs="Poppins"/>
                <w:bCs/>
                <w:spacing w:val="-4"/>
                <w:sz w:val="20"/>
                <w:szCs w:val="20"/>
              </w:rPr>
              <w:t xml:space="preserve">develop quickly and </w:t>
            </w:r>
            <w:r w:rsidRPr="007624A2">
              <w:rPr>
                <w:rFonts w:ascii="Poppins" w:hAnsi="Poppins" w:eastAsia="Times New Roman" w:cs="Poppins"/>
                <w:spacing w:val="-4"/>
                <w:sz w:val="20"/>
                <w:szCs w:val="20"/>
              </w:rPr>
              <w:t>can lead to a medical emergency with consequences for patients, their families and NHS services.</w:t>
            </w:r>
            <w:r w:rsidRPr="007624A2">
              <w:rPr>
                <w:rFonts w:ascii="Poppins" w:hAnsi="Poppins" w:eastAsia="Times New Roman" w:cs="Poppins"/>
                <w:spacing w:val="-4"/>
                <w:sz w:val="20"/>
                <w:szCs w:val="20"/>
              </w:rPr>
              <w:fldChar w:fldCharType="begin"/>
            </w:r>
            <w:r w:rsidRPr="007624A2">
              <w:rPr>
                <w:rFonts w:ascii="Poppins" w:hAnsi="Poppins" w:eastAsia="Times New Roman" w:cs="Poppins"/>
                <w:spacing w:val="-4"/>
                <w:sz w:val="20"/>
                <w:szCs w:val="20"/>
              </w:rPr>
              <w:instrText xml:space="preserve"> ADDIN EN.CITE &lt;EndNote&gt;&lt;Cite&gt;&lt;Author&gt;NHS UK&lt;/Author&gt;&lt;Year&gt;2024&lt;/Year&gt;&lt;RecNum&gt;29425&lt;/RecNum&gt;&lt;DisplayText&gt;&lt;style face="superscript"&gt;(NHS UK, 2024; NICE NG18, 2023)&lt;/style&gt;&lt;/DisplayText&gt;&lt;record&gt;&lt;rec-number&gt;29425&lt;/rec-number&gt;&lt;foreign-keys&gt;&lt;key app="EN" db-id="f5f5va0252p5fee95pj55es3tdereta29dxz" timestamp="1747220299" guid="8ee53149-9418-4cfb-b7fd-20fbae23904e"&gt;29425&lt;/key&gt;&lt;/foreign-keys&gt;&lt;ref-type name="Generic"&gt;13&lt;/ref-type&gt;&lt;contributors&gt;&lt;authors&gt;&lt;author&gt;NHS UK,&lt;/author&gt;&lt;/authors&gt;&lt;/contributors&gt;&lt;titles&gt;&lt;title&gt;Symptoms of type 1 diabetes and how it&amp;apos;s diagnosed&lt;/title&gt;&lt;/titles&gt;&lt;dates&gt;&lt;year&gt;2024&lt;/year&gt;&lt;/dates&gt;&lt;urls&gt;&lt;related-urls&gt;&lt;url&gt;https://www.nhs.uk/conditions/type-1-diabetes/symptoms&lt;/url&gt;&lt;/related-urls&gt;&lt;/urls&gt;&lt;access-date&gt;May 2025&lt;/access-date&gt;&lt;/record&gt;&lt;/Cite&gt;&lt;Cite&gt;&lt;Author&gt;NICE NG18&lt;/Author&gt;&lt;Year&gt;2023&lt;/Year&gt;&lt;RecNum&gt;29445&lt;/RecNum&gt;&lt;record&gt;&lt;rec-number&gt;29445&lt;/rec-number&gt;&lt;foreign-keys&gt;&lt;key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7624A2">
              <w:rPr>
                <w:rFonts w:ascii="Poppins" w:hAnsi="Poppins" w:eastAsia="Times New Roman" w:cs="Poppins"/>
                <w:spacing w:val="-4"/>
                <w:sz w:val="20"/>
                <w:szCs w:val="20"/>
              </w:rPr>
              <w:fldChar w:fldCharType="separate"/>
            </w:r>
            <w:r w:rsidRPr="007624A2">
              <w:rPr>
                <w:rFonts w:ascii="Poppins" w:hAnsi="Poppins" w:eastAsia="Times New Roman" w:cs="Poppins"/>
                <w:noProof/>
                <w:spacing w:val="-4"/>
                <w:sz w:val="20"/>
                <w:szCs w:val="20"/>
                <w:vertAlign w:val="superscript"/>
              </w:rPr>
              <w:t>(NHS UK, 2024; NICE NG18, 2023)</w:t>
            </w:r>
            <w:r w:rsidRPr="007624A2">
              <w:rPr>
                <w:rFonts w:ascii="Poppins" w:hAnsi="Poppins" w:eastAsia="Times New Roman" w:cs="Poppins"/>
                <w:spacing w:val="-4"/>
                <w:sz w:val="20"/>
                <w:szCs w:val="20"/>
              </w:rPr>
              <w:fldChar w:fldCharType="end"/>
            </w:r>
            <w:r w:rsidRPr="007624A2">
              <w:rPr>
                <w:rFonts w:ascii="Poppins" w:hAnsi="Poppins" w:eastAsia="Times New Roman" w:cs="Poppins"/>
                <w:spacing w:val="-4"/>
                <w:sz w:val="20"/>
                <w:szCs w:val="20"/>
              </w:rPr>
              <w:t xml:space="preserve"> Around 25% of children </w:t>
            </w:r>
            <w:r w:rsidR="00A66804">
              <w:rPr>
                <w:rFonts w:ascii="Poppins" w:hAnsi="Poppins" w:eastAsia="Times New Roman" w:cs="Poppins"/>
                <w:spacing w:val="-4"/>
                <w:sz w:val="20"/>
                <w:szCs w:val="20"/>
              </w:rPr>
              <w:t xml:space="preserve">in the UK </w:t>
            </w:r>
            <w:r w:rsidRPr="007624A2">
              <w:rPr>
                <w:rFonts w:ascii="Poppins" w:hAnsi="Poppins" w:eastAsia="Times New Roman" w:cs="Poppins"/>
                <w:spacing w:val="-4"/>
                <w:sz w:val="20"/>
                <w:szCs w:val="20"/>
              </w:rPr>
              <w:t>are diagnosed with T1D only when they present with diabetic ketoacidosis (DKA), a</w:t>
            </w:r>
            <w:r w:rsidR="00862DB9">
              <w:rPr>
                <w:rFonts w:ascii="Poppins" w:hAnsi="Poppins" w:eastAsia="Times New Roman" w:cs="Poppins"/>
                <w:spacing w:val="-4"/>
                <w:sz w:val="20"/>
                <w:szCs w:val="20"/>
              </w:rPr>
              <w:t xml:space="preserve"> medical emergency</w:t>
            </w:r>
            <w:r w:rsidRPr="007624A2">
              <w:rPr>
                <w:rFonts w:ascii="Poppins" w:hAnsi="Poppins" w:eastAsia="Times New Roman" w:cs="Poppins"/>
                <w:spacing w:val="-4"/>
                <w:sz w:val="20"/>
                <w:szCs w:val="20"/>
              </w:rPr>
              <w:t xml:space="preserve"> condition </w:t>
            </w:r>
            <w:r w:rsidR="00862DB9">
              <w:rPr>
                <w:rFonts w:ascii="Poppins" w:hAnsi="Poppins" w:eastAsia="Times New Roman" w:cs="Poppins"/>
                <w:spacing w:val="-4"/>
                <w:sz w:val="20"/>
                <w:szCs w:val="20"/>
              </w:rPr>
              <w:t xml:space="preserve">requiring admission </w:t>
            </w:r>
            <w:r w:rsidRPr="007624A2">
              <w:rPr>
                <w:rFonts w:ascii="Poppins" w:hAnsi="Poppins" w:eastAsia="Times New Roman" w:cs="Poppins"/>
                <w:spacing w:val="-4"/>
                <w:sz w:val="20"/>
                <w:szCs w:val="20"/>
              </w:rPr>
              <w:t>which accounts for &gt;50% of all deaths in children with T1D.</w:t>
            </w:r>
            <w:r w:rsidRPr="007624A2">
              <w:rPr>
                <w:rFonts w:ascii="Poppins" w:hAnsi="Poppins" w:eastAsia="Times New Roman" w:cs="Poppins"/>
                <w:spacing w:val="-4"/>
                <w:sz w:val="20"/>
                <w:szCs w:val="20"/>
              </w:rPr>
              <w:fldChar w:fldCharType="begin">
                <w:fldData xml:space="preserve">PEVuZE5vdGU+PENpdGU+PEF1dGhvcj5CZXNzZXI8L0F1dGhvcj48WWVhcj4yMDIyPC9ZZWFyPjxS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</w:fldData>
              </w:fldChar>
            </w:r>
            <w:r w:rsidRPr="007624A2">
              <w:rPr>
                <w:rFonts w:ascii="Poppins" w:hAnsi="Poppins" w:eastAsia="Times New Roman" w:cs="Poppins"/>
                <w:spacing w:val="-4"/>
                <w:sz w:val="20"/>
                <w:szCs w:val="20"/>
              </w:rPr>
              <w:instrText xml:space="preserve"> ADDIN EN.CITE </w:instrText>
            </w:r>
            <w:r w:rsidRPr="007624A2">
              <w:rPr>
                <w:rFonts w:ascii="Poppins" w:hAnsi="Poppins" w:eastAsia="Times New Roman" w:cs="Poppins"/>
                <w:spacing w:val="-4"/>
                <w:sz w:val="20"/>
                <w:szCs w:val="20"/>
              </w:rPr>
              <w:fldChar w:fldCharType="begin">
                <w:fldData xml:space="preserve">PEVuZE5vdGU+PENpdGU+PEF1dGhvcj5CZXNzZXI8L0F1dGhvcj48WWVhcj4yMDIyPC9ZZWFyPjxS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</w:fldData>
              </w:fldChar>
            </w:r>
            <w:r w:rsidRPr="007624A2">
              <w:rPr>
                <w:rFonts w:ascii="Poppins" w:hAnsi="Poppins" w:eastAsia="Times New Roman" w:cs="Poppins"/>
                <w:spacing w:val="-4"/>
                <w:sz w:val="20"/>
                <w:szCs w:val="20"/>
              </w:rPr>
              <w:instrText xml:space="preserve"> ADDIN EN.CITE.DATA </w:instrText>
            </w:r>
            <w:r w:rsidRPr="007624A2">
              <w:rPr>
                <w:rFonts w:ascii="Poppins" w:hAnsi="Poppins" w:eastAsia="Times New Roman" w:cs="Poppins"/>
                <w:spacing w:val="-4"/>
                <w:sz w:val="20"/>
                <w:szCs w:val="20"/>
              </w:rPr>
            </w:r>
            <w:r w:rsidRPr="007624A2">
              <w:rPr>
                <w:rFonts w:ascii="Poppins" w:hAnsi="Poppins" w:eastAsia="Times New Roman" w:cs="Poppins"/>
                <w:spacing w:val="-4"/>
                <w:sz w:val="20"/>
                <w:szCs w:val="20"/>
              </w:rPr>
              <w:fldChar w:fldCharType="end"/>
            </w:r>
            <w:r w:rsidRPr="007624A2">
              <w:rPr>
                <w:rFonts w:ascii="Poppins" w:hAnsi="Poppins" w:eastAsia="Times New Roman" w:cs="Poppins"/>
                <w:spacing w:val="-4"/>
                <w:sz w:val="20"/>
                <w:szCs w:val="20"/>
              </w:rPr>
            </w:r>
            <w:r w:rsidRPr="007624A2">
              <w:rPr>
                <w:rFonts w:ascii="Poppins" w:hAnsi="Poppins" w:eastAsia="Times New Roman" w:cs="Poppins"/>
                <w:spacing w:val="-4"/>
                <w:sz w:val="20"/>
                <w:szCs w:val="20"/>
              </w:rPr>
              <w:fldChar w:fldCharType="separate"/>
            </w:r>
            <w:r w:rsidRPr="007624A2">
              <w:rPr>
                <w:rFonts w:ascii="Poppins" w:hAnsi="Poppins" w:eastAsia="Times New Roman" w:cs="Poppins"/>
                <w:noProof/>
                <w:spacing w:val="-4"/>
                <w:sz w:val="20"/>
                <w:szCs w:val="20"/>
                <w:vertAlign w:val="superscript"/>
              </w:rPr>
              <w:t>(Besser, 2022; Dhatariya, 2020)</w:t>
            </w:r>
            <w:r w:rsidRPr="007624A2">
              <w:rPr>
                <w:rFonts w:ascii="Poppins" w:hAnsi="Poppins" w:eastAsia="Times New Roman" w:cs="Poppins"/>
                <w:spacing w:val="-4"/>
                <w:sz w:val="20"/>
                <w:szCs w:val="20"/>
              </w:rPr>
              <w:fldChar w:fldCharType="end"/>
            </w:r>
            <w:r w:rsidRPr="007624A2">
              <w:rPr>
                <w:rFonts w:ascii="Poppins" w:hAnsi="Poppins" w:eastAsia="Times New Roman" w:cs="Poppins"/>
                <w:spacing w:val="-4"/>
                <w:sz w:val="20"/>
                <w:szCs w:val="20"/>
              </w:rPr>
              <w:t xml:space="preserve"> Whilst the peak age of autoimmune T1D diagnosis occurs in adolescence,</w:t>
            </w:r>
            <w:r w:rsidRPr="007624A2">
              <w:rPr>
                <w:rFonts w:ascii="Poppins" w:hAnsi="Poppins" w:eastAsia="Times New Roman" w:cs="Poppins"/>
                <w:spacing w:val="-4"/>
                <w:sz w:val="20"/>
                <w:szCs w:val="20"/>
              </w:rPr>
              <w:fldChar w:fldCharType="begin">
                <w:fldData xml:space="preserve">PEVuZE5vdGU+PENpdGU+PEF1dGhvcj5Ib3JtYXrDoWJhbC1BZ3VheW88L0F1dGhvcj48WWVhcj4y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</w:fldData>
              </w:fldChar>
            </w:r>
            <w:r w:rsidRPr="007624A2">
              <w:rPr>
                <w:rFonts w:ascii="Poppins" w:hAnsi="Poppins" w:eastAsia="Times New Roman" w:cs="Poppins"/>
                <w:spacing w:val="-4"/>
                <w:sz w:val="20"/>
                <w:szCs w:val="20"/>
              </w:rPr>
              <w:instrText xml:space="preserve"> ADDIN EN.CITE </w:instrText>
            </w:r>
            <w:r w:rsidRPr="007624A2">
              <w:rPr>
                <w:rFonts w:ascii="Poppins" w:hAnsi="Poppins" w:eastAsia="Times New Roman" w:cs="Poppins"/>
                <w:spacing w:val="-4"/>
                <w:sz w:val="20"/>
                <w:szCs w:val="20"/>
              </w:rPr>
              <w:fldChar w:fldCharType="begin">
                <w:fldData xml:space="preserve">PEVuZE5vdGU+PENpdGU+PEF1dGhvcj5Ib3JtYXrDoWJhbC1BZ3VheW88L0F1dGhvcj48WWVhcj4y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</w:fldData>
              </w:fldChar>
            </w:r>
            <w:r w:rsidRPr="007624A2">
              <w:rPr>
                <w:rFonts w:ascii="Poppins" w:hAnsi="Poppins" w:eastAsia="Times New Roman" w:cs="Poppins"/>
                <w:spacing w:val="-4"/>
                <w:sz w:val="20"/>
                <w:szCs w:val="20"/>
              </w:rPr>
              <w:instrText xml:space="preserve"> ADDIN EN.CITE.DATA </w:instrText>
            </w:r>
            <w:r w:rsidRPr="007624A2">
              <w:rPr>
                <w:rFonts w:ascii="Poppins" w:hAnsi="Poppins" w:eastAsia="Times New Roman" w:cs="Poppins"/>
                <w:spacing w:val="-4"/>
                <w:sz w:val="20"/>
                <w:szCs w:val="20"/>
              </w:rPr>
            </w:r>
            <w:r w:rsidRPr="007624A2">
              <w:rPr>
                <w:rFonts w:ascii="Poppins" w:hAnsi="Poppins" w:eastAsia="Times New Roman" w:cs="Poppins"/>
                <w:spacing w:val="-4"/>
                <w:sz w:val="20"/>
                <w:szCs w:val="20"/>
              </w:rPr>
              <w:fldChar w:fldCharType="end"/>
            </w:r>
            <w:r w:rsidRPr="007624A2">
              <w:rPr>
                <w:rFonts w:ascii="Poppins" w:hAnsi="Poppins" w:eastAsia="Times New Roman" w:cs="Poppins"/>
                <w:spacing w:val="-4"/>
                <w:sz w:val="20"/>
                <w:szCs w:val="20"/>
              </w:rPr>
            </w:r>
            <w:r w:rsidRPr="007624A2">
              <w:rPr>
                <w:rFonts w:ascii="Poppins" w:hAnsi="Poppins" w:eastAsia="Times New Roman" w:cs="Poppins"/>
                <w:spacing w:val="-4"/>
                <w:sz w:val="20"/>
                <w:szCs w:val="20"/>
              </w:rPr>
              <w:fldChar w:fldCharType="separate"/>
            </w:r>
            <w:r w:rsidRPr="007624A2">
              <w:rPr>
                <w:rFonts w:ascii="Poppins" w:hAnsi="Poppins" w:eastAsia="Times New Roman" w:cs="Poppins"/>
                <w:noProof/>
                <w:spacing w:val="-4"/>
                <w:sz w:val="20"/>
                <w:szCs w:val="20"/>
                <w:vertAlign w:val="superscript"/>
              </w:rPr>
              <w:t>(Hormazábal-Aguayo, 2024)</w:t>
            </w:r>
            <w:r w:rsidRPr="007624A2">
              <w:rPr>
                <w:rFonts w:ascii="Poppins" w:hAnsi="Poppins" w:eastAsia="Times New Roman" w:cs="Poppins"/>
                <w:spacing w:val="-4"/>
                <w:sz w:val="20"/>
                <w:szCs w:val="20"/>
              </w:rPr>
              <w:fldChar w:fldCharType="end"/>
            </w:r>
            <w:r w:rsidRPr="007624A2">
              <w:rPr>
                <w:rFonts w:ascii="Poppins" w:hAnsi="Poppins" w:eastAsia="Times New Roman" w:cs="Poppins"/>
                <w:spacing w:val="-4"/>
                <w:sz w:val="20"/>
                <w:szCs w:val="20"/>
              </w:rPr>
              <w:t xml:space="preserve"> it can occur at any time and may be misdiagnosed as type 2 diabetes in adults.</w:t>
            </w:r>
            <w:r w:rsidRPr="007624A2">
              <w:rPr>
                <w:rFonts w:ascii="Poppins" w:hAnsi="Poppins" w:eastAsia="Times New Roman" w:cs="Poppins"/>
                <w:spacing w:val="-4"/>
                <w:sz w:val="20"/>
                <w:szCs w:val="20"/>
              </w:rPr>
              <w:fldChar w:fldCharType="begin"/>
            </w:r>
            <w:r w:rsidRPr="007624A2">
              <w:rPr>
                <w:rFonts w:ascii="Poppins" w:hAnsi="Poppins" w:eastAsia="Times New Roman" w:cs="Poppins"/>
                <w:spacing w:val="-4"/>
                <w:sz w:val="20"/>
                <w:szCs w:val="20"/>
              </w:rPr>
              <w:instrText xml:space="preserve"> ADDIN EN.CITE &lt;EndNote&gt;&lt;Cite&gt;&lt;Author&gt;Muñoz&lt;/Author&gt;&lt;Year&gt;2019&lt;/Year&gt;&lt;RecNum&gt;29359&lt;/RecNum&gt;&lt;DisplayText&gt;&lt;style face="superscript"&gt;(Muñoz, 2019)&lt;/style&gt;&lt;/DisplayText&gt;&lt;record&gt;&lt;rec-number&gt;29359&lt;/rec-number&gt;&lt;foreign-keys&gt;&lt;key app="EN" db-id="f5f5va0252p5fee95pj55es3tdereta29dxz" timestamp="1746127516" guid="199aeb5b-a899-4f08-a7dd-69dce06ce1d5"&gt;29359&lt;/key&gt;&lt;/foreign-keys&gt;&lt;ref-type name="Journal Article"&gt;17&lt;/ref-type&gt;&lt;contributors&gt;&lt;authors&gt;&lt;author&gt;Muñoz, C.&lt;/author&gt;&lt;author&gt;Floreen, A.&lt;/author&gt;&lt;author&gt;Garey, C.&lt;/author&gt;&lt;author&gt;Karlya, T.&lt;/author&gt;&lt;author&gt;Jelley, D.&lt;/author&gt;&lt;author&gt;Alonso, G. T.&lt;/author&gt;&lt;author&gt;McAuliffe-Fogarty, A.&lt;/author&gt;&lt;/authors&gt;&lt;/contributors&gt;&lt;auth-address&gt;University of Southern California (USC) Keck School of Medicine, Los Angeles, CA.&amp;#xD;USC UCEDD &amp;amp; Endocrinology, Children&amp;apos;s Hospital Los Angeles, Los Angeles, CA.&amp;#xD;College Diabetes Network, Boston, MA.&amp;#xD;T1D Exchange, Boston, MA.&amp;#xD;Diabetes Research Institute Foundation, Hollywood, FL.&amp;#xD;Harold Hamm Diabetes Center, University of Oklahoma School of Community Medicine, Tulsa, OK.&amp;#xD;Barbara Davis Center, University of Colorado, Aurora, CO.&lt;/auth-address&gt;&lt;titles&gt;&lt;title&gt;Misdiagnosis and diabetic ketoacidosis at diagnosis of type 1 diabetes: patient and caregiver perspectives&lt;/title&gt;&lt;secondary-title&gt;Clin Diabetes&lt;/secondary-title&gt;&lt;/titles&gt;&lt;periodical&gt;&lt;full-title&gt;Clin Diabetes&lt;/full-title&gt;&lt;abbr-1&gt;Clinical Diabetes : A Publication of the American Diabetes Association&lt;/abbr-1&gt;&lt;/periodical&gt;&lt;pages&gt;276-281&lt;/pages&gt;&lt;volume&gt;37&lt;/volume&gt;&lt;number&gt;3&lt;/number&gt;&lt;dates&gt;&lt;year&gt;2019&lt;/year&gt;&lt;pub-dates&gt;&lt;date&gt;Jul&lt;/date&gt;&lt;/pub-dates&gt;&lt;/dates&gt;&lt;isbn&gt;0891-8929 (Print)&amp;#xD;0891-8929&lt;/isbn&gt;&lt;accession-num&gt;31371859&lt;/accession-num&gt;&lt;urls&gt;&lt;/urls&gt;&lt;custom2&gt;PMC6640891&lt;/custom2&gt;&lt;electronic-resource-num&gt;10.2337/cd18-0088&lt;/electronic-resource-num&gt;&lt;remote-database-provider&gt;NLM&lt;/remote-database-provider&gt;&lt;language&gt;eng&lt;/language&gt;&lt;/record&gt;&lt;/Cite&gt;&lt;/EndNote&gt;</w:instrText>
            </w:r>
            <w:r w:rsidRPr="007624A2">
              <w:rPr>
                <w:rFonts w:ascii="Poppins" w:hAnsi="Poppins" w:eastAsia="Times New Roman" w:cs="Poppins"/>
                <w:spacing w:val="-4"/>
                <w:sz w:val="20"/>
                <w:szCs w:val="20"/>
              </w:rPr>
              <w:fldChar w:fldCharType="separate"/>
            </w:r>
            <w:r w:rsidRPr="007624A2">
              <w:rPr>
                <w:rFonts w:ascii="Poppins" w:hAnsi="Poppins" w:eastAsia="Times New Roman" w:cs="Poppins"/>
                <w:noProof/>
                <w:spacing w:val="-4"/>
                <w:sz w:val="20"/>
                <w:szCs w:val="20"/>
                <w:vertAlign w:val="superscript"/>
              </w:rPr>
              <w:t>(Muñoz, 2019)</w:t>
            </w:r>
            <w:r w:rsidRPr="007624A2">
              <w:rPr>
                <w:rFonts w:ascii="Poppins" w:hAnsi="Poppins" w:eastAsia="Times New Roman" w:cs="Poppins"/>
                <w:spacing w:val="-4"/>
                <w:sz w:val="20"/>
                <w:szCs w:val="20"/>
              </w:rPr>
              <w:fldChar w:fldCharType="end"/>
            </w:r>
            <w:r w:rsidRPr="007624A2" w:rsidR="00102802">
              <w:rPr>
                <w:rFonts w:ascii="Poppins" w:hAnsi="Poppins" w:eastAsia="Times New Roman" w:cs="Poppins"/>
                <w:spacing w:val="-4"/>
                <w:sz w:val="20"/>
                <w:szCs w:val="20"/>
              </w:rPr>
              <w:t xml:space="preserve"> </w:t>
            </w:r>
            <w:r w:rsidR="00276DA0">
              <w:rPr>
                <w:rFonts w:ascii="Poppins" w:hAnsi="Poppins" w:eastAsia="Times New Roman" w:cs="Poppins"/>
                <w:spacing w:val="-4"/>
                <w:sz w:val="20"/>
                <w:szCs w:val="20"/>
              </w:rPr>
              <w:t xml:space="preserve">Over </w:t>
            </w:r>
            <w:r w:rsidRPr="007624A2" w:rsidR="00102802">
              <w:rPr>
                <w:rFonts w:ascii="Poppins" w:hAnsi="Poppins" w:eastAsia="Times New Roman" w:cs="Poppins"/>
                <w:spacing w:val="-4"/>
                <w:sz w:val="20"/>
                <w:szCs w:val="20"/>
              </w:rPr>
              <w:t>4</w:t>
            </w:r>
            <w:r w:rsidR="00276DA0">
              <w:rPr>
                <w:rFonts w:ascii="Poppins" w:hAnsi="Poppins" w:eastAsia="Times New Roman" w:cs="Poppins"/>
                <w:spacing w:val="-4"/>
                <w:sz w:val="20"/>
                <w:szCs w:val="20"/>
              </w:rPr>
              <w:t>0</w:t>
            </w:r>
            <w:r w:rsidRPr="007624A2" w:rsidR="00102802">
              <w:rPr>
                <w:rFonts w:ascii="Poppins" w:hAnsi="Poppins" w:eastAsia="Times New Roman" w:cs="Poppins"/>
                <w:spacing w:val="-4"/>
                <w:sz w:val="20"/>
                <w:szCs w:val="20"/>
              </w:rPr>
              <w:t>% of cases of T1D have been shown to occur after age 30 years with similar clinical characteristics and risk of DKA in these p</w:t>
            </w:r>
            <w:r w:rsidR="00481952">
              <w:rPr>
                <w:rFonts w:ascii="Poppins" w:hAnsi="Poppins" w:eastAsia="Times New Roman" w:cs="Poppins"/>
                <w:spacing w:val="-4"/>
                <w:sz w:val="20"/>
                <w:szCs w:val="20"/>
              </w:rPr>
              <w:t>eople</w:t>
            </w:r>
            <w:r w:rsidRPr="007624A2" w:rsidR="00102802">
              <w:rPr>
                <w:rFonts w:ascii="Poppins" w:hAnsi="Poppins" w:eastAsia="Times New Roman" w:cs="Poppins"/>
                <w:spacing w:val="-4"/>
                <w:sz w:val="20"/>
                <w:szCs w:val="20"/>
              </w:rPr>
              <w:t xml:space="preserve"> compared to those diagnosed when aged 30 or younger.</w:t>
            </w:r>
            <w:r w:rsidRPr="007624A2" w:rsidR="00102802">
              <w:rPr>
                <w:rFonts w:ascii="Poppins" w:hAnsi="Poppins" w:eastAsia="Times New Roman" w:cs="Poppins"/>
                <w:spacing w:val="-4"/>
                <w:sz w:val="20"/>
                <w:szCs w:val="20"/>
              </w:rPr>
              <w:fldChar w:fldCharType="begin"/>
            </w:r>
            <w:r w:rsidR="008B253D">
              <w:rPr>
                <w:rFonts w:ascii="Poppins" w:hAnsi="Poppins" w:eastAsia="Times New Roman" w:cs="Poppins"/>
                <w:spacing w:val="-4"/>
                <w:sz w:val="20"/>
                <w:szCs w:val="20"/>
              </w:rPr>
              <w:instrText xml:space="preserve"> ADDIN EN.CITE &lt;EndNote&gt;&lt;Cite&gt;&lt;Author&gt;Thomas&lt;/Author&gt;&lt;Year&gt;2018&lt;/Year&gt;&lt;RecNum&gt;30349&lt;/RecNum&gt;&lt;DisplayText&gt;&lt;style face="superscript"&gt;(Thomas, 2018)&lt;/style&gt;&lt;/DisplayText&gt;&lt;record&gt;&lt;rec-number&gt;30349&lt;/rec-number&gt;&lt;foreign-keys&gt;&lt;key app="EN" db-id="f5f5va0252p5fee95pj55es3tdereta29dxz" timestamp="1773677340" guid="522b7ccd-4bdd-427d-9453-174863b9c407"&gt;30349&lt;/key&gt;&lt;/foreign-keys&gt;&lt;ref-type name="Journal Article"&gt;17&lt;/ref-type&gt;&lt;contributors&gt;&lt;authors&gt;&lt;author&gt;Thomas, Nicholas J.&lt;/author&gt;&lt;author&gt;Jones, Samuel E.&lt;/author&gt;&lt;author&gt;Weedon, Michael N.&lt;/author&gt;&lt;author&gt;Shields, Beverley M.&lt;/author&gt;&lt;author&gt;Oram, Richard A.&lt;/author&gt;&lt;author&gt;Hattersley, Andrew T.&lt;/author&gt;&lt;/authors&gt;&lt;/contributors&gt;&lt;titles&gt;&lt;title&gt;Frequency and phenotype of type 1 diabetes in the first six decades of life: a cross-sectional, genetically stratified survival analysis from UK Biobank&lt;/title&gt;&lt;secondary-title&gt;The Lancet Diabetes &amp;amp; Endocrinology&lt;/secondary-title&gt;&lt;/titles&gt;&lt;periodical&gt;&lt;full-title&gt;The Lancet Diabetes &amp;amp; Endocrinology&lt;/full-title&gt;&lt;/periodical&gt;&lt;pages&gt;122-129&lt;/pages&gt;&lt;volume&gt;6&lt;/volume&gt;&lt;number&gt;2&lt;/number&gt;&lt;dates&gt;&lt;year&gt;2018&lt;/year&gt;&lt;/dates&gt;&lt;publisher&gt;Elsevier&lt;/publisher&gt;&lt;isbn&gt;2213-8587&lt;/isbn&gt;&lt;urls&gt;&lt;related-urls&gt;&lt;url&gt;https://doi.org/10.1016/S2213-8587(17)30362-5&lt;/url&gt;&lt;/related-urls&gt;&lt;/urls&gt;&lt;electronic-resource-num&gt;10.1016/S2213-8587(17)30362-5&lt;/electronic-resource-num&gt;&lt;access-date&gt;2026/03/16&lt;/access-date&gt;&lt;/record&gt;&lt;/Cite&gt;&lt;/EndNote&gt;</w:instrText>
            </w:r>
            <w:r w:rsidRPr="007624A2" w:rsidR="00102802">
              <w:rPr>
                <w:rFonts w:ascii="Poppins" w:hAnsi="Poppins" w:eastAsia="Times New Roman" w:cs="Poppins"/>
                <w:spacing w:val="-4"/>
                <w:sz w:val="20"/>
                <w:szCs w:val="20"/>
              </w:rPr>
              <w:fldChar w:fldCharType="separate"/>
            </w:r>
            <w:r w:rsidRPr="007624A2" w:rsidR="00102802">
              <w:rPr>
                <w:rFonts w:ascii="Poppins" w:hAnsi="Poppins" w:eastAsia="Times New Roman" w:cs="Poppins"/>
                <w:noProof/>
                <w:spacing w:val="-4"/>
                <w:sz w:val="20"/>
                <w:szCs w:val="20"/>
                <w:vertAlign w:val="superscript"/>
              </w:rPr>
              <w:t>(Thomas, 2018)</w:t>
            </w:r>
            <w:r w:rsidRPr="007624A2" w:rsidR="00102802">
              <w:rPr>
                <w:rFonts w:ascii="Poppins" w:hAnsi="Poppins" w:eastAsia="Times New Roman" w:cs="Poppins"/>
                <w:spacing w:val="-4"/>
                <w:sz w:val="20"/>
                <w:szCs w:val="20"/>
              </w:rPr>
              <w:fldChar w:fldCharType="end"/>
            </w:r>
          </w:p>
          <w:p w:rsidRPr="00B146B6" w:rsidR="00B146B6" w:rsidP="001B36EE" w:rsidRDefault="00F35197" w14:paraId="44F46D4F" w14:textId="4A0229AA">
            <w:pPr>
              <w:spacing w:after="60"/>
              <w:rPr>
                <w:rFonts w:ascii="Poppins" w:hAnsi="Poppins" w:eastAsia="Times New Roman" w:cs="Poppins"/>
                <w:sz w:val="20"/>
                <w:szCs w:val="20"/>
              </w:rPr>
            </w:pPr>
            <w:r>
              <w:rPr>
                <w:rFonts w:ascii="Poppins" w:hAnsi="Poppins" w:eastAsia="Times New Roman" w:cs="Poppins"/>
                <w:sz w:val="20"/>
                <w:szCs w:val="20"/>
              </w:rPr>
              <w:t>People n</w:t>
            </w:r>
            <w:r w:rsidRPr="00B146B6" w:rsidR="00B146B6">
              <w:rPr>
                <w:rFonts w:ascii="Poppins" w:hAnsi="Poppins" w:eastAsia="Times New Roman" w:cs="Poppins"/>
                <w:sz w:val="20"/>
                <w:szCs w:val="20"/>
              </w:rPr>
              <w:t>ewly diagnosed with T1D need to start insulin immediately.</w:t>
            </w:r>
            <w:r w:rsidRPr="00B146B6" w:rsidR="00B146B6">
              <w:rPr>
                <w:rFonts w:ascii="Poppins" w:hAnsi="Poppins" w:eastAsia="Times New Roman" w:cs="Poppins"/>
                <w:sz w:val="20"/>
                <w:szCs w:val="20"/>
              </w:rPr>
              <w:fldChar w:fldCharType="begin"/>
            </w:r>
            <w:r w:rsidRPr="00B146B6" w:rsidR="00B146B6">
              <w:rPr>
                <w:rFonts w:ascii="Poppins" w:hAnsi="Poppins" w:eastAsia="Times New Roman" w:cs="Poppins"/>
                <w:sz w:val="20"/>
                <w:szCs w:val="20"/>
              </w:rPr>
              <w:instrText xml:space="preserve"> ADDIN EN.CITE &lt;EndNote&gt;&lt;Cite&gt;&lt;Author&gt;NICE NG18&lt;/Author&gt;&lt;Year&gt;2023&lt;/Year&gt;&lt;RecNum&gt;29445&lt;/RecNum&gt;&lt;DisplayText&gt;&lt;style face="superscript"&gt;(NICE NG18, 2023)&lt;/style&gt;&lt;/DisplayText&gt;&lt;record&gt;&lt;rec-number&gt;29445&lt;/rec-number&gt;&lt;foreign-keys&gt;&lt;key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B146B6" w:rsidR="00B146B6">
              <w:rPr>
                <w:rFonts w:ascii="Poppins" w:hAnsi="Poppins" w:eastAsia="Times New Roman" w:cs="Poppins"/>
                <w:sz w:val="20"/>
                <w:szCs w:val="20"/>
              </w:rPr>
              <w:fldChar w:fldCharType="separate"/>
            </w:r>
            <w:r w:rsidRPr="00B146B6" w:rsidR="00B146B6">
              <w:rPr>
                <w:rFonts w:ascii="Poppins" w:hAnsi="Poppins" w:eastAsia="Times New Roman" w:cs="Poppins"/>
                <w:noProof/>
                <w:sz w:val="20"/>
                <w:szCs w:val="20"/>
                <w:vertAlign w:val="superscript"/>
              </w:rPr>
              <w:t>(NICE NG18, 2023)</w:t>
            </w:r>
            <w:r w:rsidRPr="00B146B6" w:rsidR="00B146B6">
              <w:rPr>
                <w:rFonts w:ascii="Poppins" w:hAnsi="Poppins" w:eastAsia="Times New Roman" w:cs="Poppins"/>
                <w:sz w:val="20"/>
                <w:szCs w:val="20"/>
              </w:rPr>
              <w:fldChar w:fldCharType="end"/>
            </w:r>
            <w:r w:rsidRPr="00B146B6" w:rsidR="00B146B6">
              <w:rPr>
                <w:rFonts w:ascii="Poppins" w:hAnsi="Poppins" w:eastAsia="Times New Roman" w:cs="Poppins"/>
                <w:sz w:val="20"/>
                <w:szCs w:val="20"/>
              </w:rPr>
              <w:t xml:space="preserve"> As well as the dealing with the shock of diagnosis, p</w:t>
            </w:r>
            <w:r w:rsidR="00481952">
              <w:rPr>
                <w:rFonts w:ascii="Poppins" w:hAnsi="Poppins" w:eastAsia="Times New Roman" w:cs="Poppins"/>
                <w:sz w:val="20"/>
                <w:szCs w:val="20"/>
              </w:rPr>
              <w:t>eople</w:t>
            </w:r>
            <w:r w:rsidRPr="00B146B6" w:rsidR="00B146B6">
              <w:rPr>
                <w:rFonts w:ascii="Poppins" w:hAnsi="Poppins" w:eastAsia="Times New Roman" w:cs="Poppins"/>
                <w:sz w:val="20"/>
                <w:szCs w:val="20"/>
              </w:rPr>
              <w:t xml:space="preserve"> have to deal with the emotional impact and lifestyle adjustments associated with insulin therapy.</w:t>
            </w:r>
            <w:r w:rsidRPr="00B146B6" w:rsidR="00B146B6">
              <w:rPr>
                <w:rFonts w:ascii="Poppins" w:hAnsi="Poppins" w:eastAsia="Times New Roman" w:cs="Poppins"/>
                <w:sz w:val="20"/>
                <w:szCs w:val="20"/>
              </w:rPr>
              <w:fldChar w:fldCharType="begin">
                <w:fldData xml:space="preserve">PEVuZE5vdGU+PENpdGU+PEF1dGhvcj5OSFMgVUs8L0F1dGhvcj48WWVhcj4yMDI0PC9ZZWFyPjxS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</w:fldData>
              </w:fldChar>
            </w:r>
            <w:r w:rsidRPr="00B146B6" w:rsidR="00B146B6">
              <w:rPr>
                <w:rFonts w:ascii="Poppins" w:hAnsi="Poppins" w:eastAsia="Times New Roman" w:cs="Poppins"/>
                <w:sz w:val="20"/>
                <w:szCs w:val="20"/>
              </w:rPr>
              <w:instrText xml:space="preserve"> ADDIN EN.CITE </w:instrText>
            </w:r>
            <w:r w:rsidRPr="00B146B6" w:rsidR="00B146B6">
              <w:rPr>
                <w:rFonts w:ascii="Poppins" w:hAnsi="Poppins" w:eastAsia="Times New Roman" w:cs="Poppins"/>
                <w:sz w:val="20"/>
                <w:szCs w:val="20"/>
              </w:rPr>
              <w:fldChar w:fldCharType="begin">
                <w:fldData xml:space="preserve">PEVuZE5vdGU+PENpdGU+PEF1dGhvcj5OSFMgVUs8L0F1dGhvcj48WWVhcj4yMDI0PC9ZZWFyPjxS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</w:fldData>
              </w:fldChar>
            </w:r>
            <w:r w:rsidRPr="00B146B6" w:rsidR="00B146B6">
              <w:rPr>
                <w:rFonts w:ascii="Poppins" w:hAnsi="Poppins" w:eastAsia="Times New Roman" w:cs="Poppins"/>
                <w:sz w:val="20"/>
                <w:szCs w:val="20"/>
              </w:rPr>
              <w:instrText xml:space="preserve"> ADDIN EN.CITE.DATA </w:instrText>
            </w:r>
            <w:r w:rsidRPr="00B146B6" w:rsidR="00B146B6">
              <w:rPr>
                <w:rFonts w:ascii="Poppins" w:hAnsi="Poppins" w:eastAsia="Times New Roman" w:cs="Poppins"/>
                <w:sz w:val="20"/>
                <w:szCs w:val="20"/>
              </w:rPr>
            </w:r>
            <w:r w:rsidRPr="00B146B6" w:rsidR="00B146B6">
              <w:rPr>
                <w:rFonts w:ascii="Poppins" w:hAnsi="Poppins" w:eastAsia="Times New Roman" w:cs="Poppins"/>
                <w:sz w:val="20"/>
                <w:szCs w:val="20"/>
              </w:rPr>
              <w:fldChar w:fldCharType="end"/>
            </w:r>
            <w:r w:rsidRPr="00B146B6" w:rsidR="00B146B6">
              <w:rPr>
                <w:rFonts w:ascii="Poppins" w:hAnsi="Poppins" w:eastAsia="Times New Roman" w:cs="Poppins"/>
                <w:sz w:val="20"/>
                <w:szCs w:val="20"/>
              </w:rPr>
            </w:r>
            <w:r w:rsidRPr="00B146B6" w:rsidR="00B146B6">
              <w:rPr>
                <w:rFonts w:ascii="Poppins" w:hAnsi="Poppins" w:eastAsia="Times New Roman" w:cs="Poppins"/>
                <w:sz w:val="20"/>
                <w:szCs w:val="20"/>
              </w:rPr>
              <w:fldChar w:fldCharType="separate"/>
            </w:r>
            <w:r w:rsidRPr="00B146B6" w:rsidR="00B146B6">
              <w:rPr>
                <w:rFonts w:ascii="Poppins" w:hAnsi="Poppins" w:eastAsia="Times New Roman" w:cs="Poppins"/>
                <w:noProof/>
                <w:sz w:val="20"/>
                <w:szCs w:val="20"/>
                <w:vertAlign w:val="superscript"/>
              </w:rPr>
              <w:t>(NHS UK, 2024; NICE NG18, 2023; Diabetes UK, 2025a; Robinson, 2015)</w:t>
            </w:r>
            <w:r w:rsidRPr="00B146B6" w:rsidR="00B146B6">
              <w:rPr>
                <w:rFonts w:ascii="Poppins" w:hAnsi="Poppins" w:eastAsia="Times New Roman" w:cs="Poppins"/>
                <w:sz w:val="20"/>
                <w:szCs w:val="20"/>
              </w:rPr>
              <w:fldChar w:fldCharType="end"/>
            </w:r>
            <w:r w:rsidRPr="00B146B6" w:rsidR="00B146B6">
              <w:rPr>
                <w:rFonts w:ascii="Poppins" w:hAnsi="Poppins" w:eastAsia="Times New Roman" w:cs="Poppins"/>
                <w:sz w:val="20"/>
                <w:szCs w:val="20"/>
              </w:rPr>
              <w:t xml:space="preserve"> They also risk hypo- or hyperglycaemia while learning to adjust insulin.</w:t>
            </w:r>
            <w:r w:rsidRPr="00B146B6" w:rsidR="00B146B6">
              <w:rPr>
                <w:rFonts w:ascii="Poppins" w:hAnsi="Poppins" w:eastAsia="Times New Roman" w:cs="Poppins"/>
                <w:sz w:val="20"/>
                <w:szCs w:val="20"/>
              </w:rPr>
              <w:fldChar w:fldCharType="begin"/>
            </w:r>
            <w:r w:rsidRPr="00B146B6" w:rsidR="00B146B6">
              <w:rPr>
                <w:rFonts w:ascii="Poppins" w:hAnsi="Poppins" w:eastAsia="Times New Roman" w:cs="Poppins"/>
                <w:sz w:val="20"/>
                <w:szCs w:val="20"/>
              </w:rPr>
              <w:instrText xml:space="preserve"> ADDIN EN.CITE &lt;EndNote&gt;&lt;Cite&gt;&lt;Author&gt;NICE NG18&lt;/Author&gt;&lt;Year&gt;2023&lt;/Year&gt;&lt;RecNum&gt;29445&lt;/RecNum&gt;&lt;DisplayText&gt;&lt;style face="superscript"&gt;(NICE NG18, 2023)&lt;/style&gt;&lt;/DisplayText&gt;&lt;record&gt;&lt;rec-number&gt;29445&lt;/rec-number&gt;&lt;foreign-keys&gt;&lt;key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B146B6" w:rsidR="00B146B6">
              <w:rPr>
                <w:rFonts w:ascii="Poppins" w:hAnsi="Poppins" w:eastAsia="Times New Roman" w:cs="Poppins"/>
                <w:sz w:val="20"/>
                <w:szCs w:val="20"/>
              </w:rPr>
              <w:fldChar w:fldCharType="separate"/>
            </w:r>
            <w:r w:rsidRPr="00B146B6" w:rsidR="00B146B6">
              <w:rPr>
                <w:rFonts w:ascii="Poppins" w:hAnsi="Poppins" w:eastAsia="Times New Roman" w:cs="Poppins"/>
                <w:noProof/>
                <w:sz w:val="20"/>
                <w:szCs w:val="20"/>
                <w:vertAlign w:val="superscript"/>
              </w:rPr>
              <w:t>(NICE NG18, 2023)</w:t>
            </w:r>
            <w:r w:rsidRPr="00B146B6" w:rsidR="00B146B6">
              <w:rPr>
                <w:rFonts w:ascii="Poppins" w:hAnsi="Poppins" w:eastAsia="Times New Roman" w:cs="Poppins"/>
                <w:sz w:val="20"/>
                <w:szCs w:val="20"/>
              </w:rPr>
              <w:fldChar w:fldCharType="end"/>
            </w:r>
          </w:p>
          <w:p w:rsidRPr="00B146B6" w:rsidR="00B146B6" w:rsidP="001B36EE" w:rsidRDefault="00B146B6" w14:paraId="077F719D" w14:textId="3CDA8527">
            <w:pPr>
              <w:spacing w:after="60"/>
              <w:rPr>
                <w:rFonts w:ascii="Poppins" w:hAnsi="Poppins" w:eastAsia="Times New Roman" w:cs="Poppins"/>
                <w:bCs/>
                <w:sz w:val="20"/>
                <w:szCs w:val="20"/>
              </w:rPr>
            </w:pPr>
            <w:r w:rsidRPr="00B146B6">
              <w:rPr>
                <w:rFonts w:ascii="Poppins" w:hAnsi="Poppins" w:eastAsia="Times New Roman" w:cs="Poppins"/>
                <w:bCs/>
                <w:sz w:val="20"/>
                <w:szCs w:val="20"/>
              </w:rPr>
              <w:t>Teplizumab is the first and only approved disease modifying therapy to delay the onset of Stage 3 type 1 diabetes in adult and paediatric patients 8 years of age and older with Stage 2 T1D. A service to deliver Teplizumab therefore provides an opportunity to intervene before p</w:t>
            </w:r>
            <w:r w:rsidR="00481952">
              <w:rPr>
                <w:rFonts w:ascii="Poppins" w:hAnsi="Poppins" w:eastAsia="Times New Roman" w:cs="Poppins"/>
                <w:bCs/>
                <w:sz w:val="20"/>
                <w:szCs w:val="20"/>
              </w:rPr>
              <w:t>eople</w:t>
            </w:r>
            <w:r w:rsidRPr="00B146B6">
              <w:rPr>
                <w:rFonts w:ascii="Poppins" w:hAnsi="Poppins" w:eastAsia="Times New Roman" w:cs="Poppins"/>
                <w:bCs/>
                <w:sz w:val="20"/>
                <w:szCs w:val="20"/>
              </w:rPr>
              <w:t xml:space="preserve"> progress to Stage 3 T1D and become clinically symptomatic.</w:t>
            </w:r>
            <w:r w:rsidRPr="00B146B6">
              <w:rPr>
                <w:rFonts w:ascii="Poppins" w:hAnsi="Poppins" w:eastAsia="Times New Roman"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hAnsi="Poppins" w:eastAsia="Times New Roman" w:cs="Poppins"/>
                <w:bCs/>
                <w:sz w:val="20"/>
                <w:szCs w:val="20"/>
              </w:rPr>
              <w:instrText xml:space="preserve"> ADDIN EN.CITE </w:instrText>
            </w:r>
            <w:r w:rsidRPr="00B146B6">
              <w:rPr>
                <w:rFonts w:ascii="Poppins" w:hAnsi="Poppins" w:eastAsia="Times New Roman"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hAnsi="Poppins" w:eastAsia="Times New Roman" w:cs="Poppins"/>
                <w:bCs/>
                <w:sz w:val="20"/>
                <w:szCs w:val="20"/>
              </w:rPr>
              <w:instrText xml:space="preserve"> ADDIN EN.CITE.DATA </w:instrText>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end"/>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separate"/>
            </w:r>
            <w:r w:rsidRPr="00B146B6">
              <w:rPr>
                <w:rFonts w:ascii="Poppins" w:hAnsi="Poppins" w:eastAsia="Times New Roman" w:cs="Poppins"/>
                <w:bCs/>
                <w:noProof/>
                <w:sz w:val="20"/>
                <w:szCs w:val="20"/>
                <w:vertAlign w:val="superscript"/>
              </w:rPr>
              <w:t>(Herold, 2019; Nagy, 2022; diaTriab Learn, 2025; TZIELD® SmPC)</w:t>
            </w:r>
            <w:r w:rsidRPr="00B146B6">
              <w:rPr>
                <w:rFonts w:ascii="Poppins" w:hAnsi="Poppins" w:eastAsia="Times New Roman" w:cs="Poppins"/>
                <w:bCs/>
                <w:sz w:val="20"/>
                <w:szCs w:val="20"/>
              </w:rPr>
              <w:fldChar w:fldCharType="end"/>
            </w:r>
          </w:p>
          <w:p w:rsidR="00B146B6" w:rsidP="001B36EE" w:rsidRDefault="00B146B6" w14:paraId="1E3A5718" w14:textId="0801B21A">
            <w:pPr>
              <w:spacing w:after="60"/>
              <w:rPr>
                <w:rFonts w:ascii="Poppins" w:hAnsi="Poppins" w:eastAsia="Times New Roman" w:cs="Poppins"/>
                <w:bCs/>
                <w:sz w:val="20"/>
                <w:szCs w:val="20"/>
              </w:rPr>
            </w:pPr>
            <w:r w:rsidRPr="00B146B6">
              <w:rPr>
                <w:rFonts w:ascii="Poppins" w:hAnsi="Poppins" w:eastAsia="Times New Roman" w:cs="Poppins"/>
                <w:bCs/>
                <w:sz w:val="20"/>
                <w:szCs w:val="20"/>
              </w:rPr>
              <w:t>Compared with current standard of care, teplizumab offers 2x more time in presymptomatic Stage 2 autoimmune T1D</w:t>
            </w:r>
            <w:r w:rsidR="00EF1644">
              <w:rPr>
                <w:rFonts w:ascii="Poppins" w:hAnsi="Poppins" w:eastAsia="Times New Roman" w:cs="Poppins"/>
                <w:bCs/>
                <w:sz w:val="20"/>
                <w:szCs w:val="20"/>
              </w:rPr>
              <w:t>, extending the time in presymptomatic T1D from 2 years to 4 years</w:t>
            </w:r>
            <w:r w:rsidRPr="00B146B6">
              <w:rPr>
                <w:rFonts w:ascii="Poppins" w:hAnsi="Poppins" w:eastAsia="Times New Roman" w:cs="Poppins"/>
                <w:bCs/>
                <w:sz w:val="20"/>
                <w:szCs w:val="20"/>
              </w:rPr>
              <w:t>. In the TN-10 trial the median time to diagnosis of Stage 3 (clinically symptomatic) T1D was 48.4 months with teplizumab compared to 24.4 months with placebo.</w:t>
            </w:r>
            <w:r w:rsidRPr="00B146B6">
              <w:rPr>
                <w:rFonts w:ascii="Poppins" w:hAnsi="Poppins" w:cs="Poppins"/>
                <w:spacing w:val="-2"/>
                <w:sz w:val="20"/>
                <w:szCs w:val="20"/>
              </w:rPr>
              <w:t xml:space="preserve"> </w:t>
            </w:r>
            <w:r w:rsidRPr="00B146B6">
              <w:rPr>
                <w:rFonts w:ascii="Poppins" w:hAnsi="Poppins" w:cs="Poppins"/>
                <w:spacing w:val="-2"/>
                <w:sz w:val="20"/>
                <w:szCs w:val="20"/>
              </w:rPr>
              <w:fldChar w:fldCharType="begin">
                <w:fldData xml:space="preserve">PEVuZE5vdGU+PENpdGU+PFJlY051bT4yOTMwMzwvUmVjTnVtPjxEaXNwbGF5VGV4dD48c3R5bGUg
ZmFjZT0ic3VwZXJzY3JpcHQiPihUWklFTETCriBTbVBDOyBIZXJvbGQsIDIwMTkpPC9zdHlsZT48
L0Rpc3BsYXlUZXh0PjxyZWNvcmQ+PHJlYy1udW1iZXI+MjkzMDM8L3JlYy1udW1iZXI+PGZvcmVp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ZGF0ZXM+PHVybHM+PC91cmxzPjwvcmVjb3JkPjwvQ2l0ZT48Q2l0ZT48QXV0aG9yPlRaSUVMRMKu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cz48L3JlY29yZD48L0NpdGU+PENpdGU+PEF1dGhvcj5IZXJvbGQ8L0F1dGhvcj48WWVhcj4yMDE5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cz48L3JlY29yZD48L0NpdGU+PC9FbmROb3RlPn==
</w:fldData>
              </w:fldChar>
            </w:r>
            <w:r w:rsidRPr="00B146B6">
              <w:rPr>
                <w:rFonts w:ascii="Poppins" w:hAnsi="Poppins" w:cs="Poppins"/>
                <w:spacing w:val="-2"/>
                <w:sz w:val="20"/>
                <w:szCs w:val="20"/>
              </w:rPr>
              <w:instrText xml:space="preserve"> ADDIN EN.CITE </w:instrText>
            </w:r>
            <w:r w:rsidRPr="00B146B6">
              <w:rPr>
                <w:rFonts w:ascii="Poppins" w:hAnsi="Poppins" w:cs="Poppins"/>
                <w:spacing w:val="-2"/>
                <w:sz w:val="20"/>
                <w:szCs w:val="20"/>
              </w:rPr>
              <w:fldChar w:fldCharType="begin">
                <w:fldData xml:space="preserve">PEVuZE5vdGU+PENpdGU+PFJlY051bT4yOTMwMzwvUmVjTnVtPjxEaXNwbGF5VGV4dD48c3R5bGUg
ZmFjZT0ic3VwZXJzY3JpcHQiPihUWklFTETCriBTbVBDOyBIZXJvbGQsIDIwMTkpPC9zdHlsZT48
L0Rpc3BsYXlUZXh0PjxyZWNvcmQ+PHJlYy1udW1iZXI+MjkzMDM8L3JlYy1udW1iZXI+PGZvcmVp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ZGF0ZXM+PHVybHM+PC91cmxzPjwvcmVjb3JkPjwvQ2l0ZT48Q2l0ZT48QXV0aG9yPlRaSUVMRMKu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cz48L3JlY29yZD48L0NpdGU+PENpdGU+PEF1dGhvcj5IZXJvbGQ8L0F1dGhvcj48WWVhcj4yMDE5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</w:fldData>
              </w:fldChar>
            </w:r>
            <w:r w:rsidRPr="00B146B6">
              <w:rPr>
                <w:rFonts w:ascii="Poppins" w:hAnsi="Poppins" w:cs="Poppins"/>
                <w:spacing w:val="-2"/>
                <w:sz w:val="20"/>
                <w:szCs w:val="20"/>
              </w:rPr>
              <w:instrText xml:space="preserve"> ADDIN EN.CITE.DATA </w:instrText>
            </w:r>
            <w:r w:rsidRPr="00B146B6">
              <w:rPr>
                <w:rFonts w:ascii="Poppins" w:hAnsi="Poppins" w:cs="Poppins"/>
                <w:spacing w:val="-2"/>
                <w:sz w:val="20"/>
                <w:szCs w:val="20"/>
              </w:rPr>
            </w:r>
            <w:r w:rsidRPr="00B146B6">
              <w:rPr>
                <w:rFonts w:ascii="Poppins" w:hAnsi="Poppins" w:cs="Poppins"/>
                <w:spacing w:val="-2"/>
                <w:sz w:val="20"/>
                <w:szCs w:val="20"/>
              </w:rPr>
              <w:fldChar w:fldCharType="end"/>
            </w:r>
            <w:r w:rsidRPr="00B146B6">
              <w:rPr>
                <w:rFonts w:ascii="Poppins" w:hAnsi="Poppins" w:cs="Poppins"/>
                <w:spacing w:val="-2"/>
                <w:sz w:val="20"/>
                <w:szCs w:val="20"/>
              </w:rPr>
            </w:r>
            <w:r w:rsidRPr="00B146B6">
              <w:rPr>
                <w:rFonts w:ascii="Poppins" w:hAnsi="Poppins" w:cs="Poppins"/>
                <w:spacing w:val="-2"/>
                <w:sz w:val="20"/>
                <w:szCs w:val="20"/>
              </w:rPr>
              <w:fldChar w:fldCharType="separate"/>
            </w:r>
            <w:r w:rsidRPr="00B146B6">
              <w:rPr>
                <w:rFonts w:ascii="Poppins" w:hAnsi="Poppins" w:cs="Poppins"/>
                <w:noProof/>
                <w:spacing w:val="-2"/>
                <w:sz w:val="20"/>
                <w:szCs w:val="20"/>
                <w:vertAlign w:val="superscript"/>
              </w:rPr>
              <w:t>(TZIELD® SmPC; Herold, 2019)</w:t>
            </w:r>
            <w:r w:rsidRPr="00B146B6">
              <w:rPr>
                <w:rFonts w:ascii="Poppins" w:hAnsi="Poppins" w:cs="Poppins"/>
                <w:spacing w:val="-2"/>
                <w:sz w:val="20"/>
                <w:szCs w:val="20"/>
              </w:rPr>
              <w:fldChar w:fldCharType="end"/>
            </w:r>
            <w:r w:rsidRPr="00B146B6">
              <w:rPr>
                <w:rFonts w:ascii="Poppins" w:hAnsi="Poppins" w:cs="Poppins"/>
                <w:spacing w:val="-2"/>
                <w:sz w:val="20"/>
                <w:szCs w:val="20"/>
              </w:rPr>
              <w:t xml:space="preserve"> </w:t>
            </w:r>
            <w:r w:rsidR="00134026">
              <w:rPr>
                <w:rFonts w:ascii="Poppins" w:hAnsi="Poppins" w:cs="Poppins"/>
                <w:spacing w:val="-2"/>
                <w:sz w:val="20"/>
                <w:szCs w:val="20"/>
              </w:rPr>
              <w:t>In an extended analysis, at the end of 80.46 months follow-up, 36% of patients (n=16/44) had not been diagnosed with Stage 3 T1D</w:t>
            </w:r>
            <w:r w:rsidRPr="00B146B6">
              <w:rPr>
                <w:rFonts w:ascii="Poppins" w:hAnsi="Poppins" w:cs="Poppins"/>
                <w:spacing w:val="-2"/>
                <w:sz w:val="20"/>
                <w:szCs w:val="20"/>
              </w:rPr>
              <w:t xml:space="preserve"> </w:t>
            </w:r>
            <w:r w:rsidR="00134026">
              <w:rPr>
                <w:rFonts w:ascii="Poppins" w:hAnsi="Poppins" w:cs="Poppins"/>
                <w:spacing w:val="-2"/>
                <w:sz w:val="20"/>
                <w:szCs w:val="20"/>
              </w:rPr>
              <w:t>vs. 12.5% (n=4/32) in the placebo group (p=0.03 Fisher’s exact test)</w:t>
            </w:r>
            <w:r w:rsidR="00653399">
              <w:rPr>
                <w:rFonts w:ascii="Poppins" w:hAnsi="Poppins" w:cs="Poppins"/>
                <w:spacing w:val="-2"/>
                <w:sz w:val="20"/>
                <w:szCs w:val="20"/>
              </w:rPr>
              <w:fldChar w:fldCharType="begin">
                <w:fldData xml:space="preserve">PEVuZE5vdGU+PENpdGU+PEF1dGhvcj5MbGVkw7MtRGVsZ2FkbzwvQXV0aG9yPjxZZWFyPjIwMjQ8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</w:fldData>
              </w:fldChar>
            </w:r>
            <w:r w:rsidR="00653399">
              <w:rPr>
                <w:rFonts w:ascii="Poppins" w:hAnsi="Poppins" w:cs="Poppins"/>
                <w:spacing w:val="-2"/>
                <w:sz w:val="20"/>
                <w:szCs w:val="20"/>
              </w:rPr>
              <w:instrText xml:space="preserve"> ADDIN EN.CITE </w:instrText>
            </w:r>
            <w:r w:rsidR="00653399">
              <w:rPr>
                <w:rFonts w:ascii="Poppins" w:hAnsi="Poppins" w:cs="Poppins"/>
                <w:spacing w:val="-2"/>
                <w:sz w:val="20"/>
                <w:szCs w:val="20"/>
              </w:rPr>
              <w:fldChar w:fldCharType="begin">
                <w:fldData xml:space="preserve">PEVuZE5vdGU+PENpdGU+PEF1dGhvcj5MbGVkw7MtRGVsZ2FkbzwvQXV0aG9yPjxZZWFyPjIwMjQ8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</w:fldData>
              </w:fldChar>
            </w:r>
            <w:r w:rsidR="00653399">
              <w:rPr>
                <w:rFonts w:ascii="Poppins" w:hAnsi="Poppins" w:cs="Poppins"/>
                <w:spacing w:val="-2"/>
                <w:sz w:val="20"/>
                <w:szCs w:val="20"/>
              </w:rPr>
              <w:instrText xml:space="preserve"> ADDIN EN.CITE.DATA </w:instrText>
            </w:r>
            <w:r w:rsidR="00653399">
              <w:rPr>
                <w:rFonts w:ascii="Poppins" w:hAnsi="Poppins" w:cs="Poppins"/>
                <w:spacing w:val="-2"/>
                <w:sz w:val="20"/>
                <w:szCs w:val="20"/>
              </w:rPr>
            </w:r>
            <w:r w:rsidR="00653399">
              <w:rPr>
                <w:rFonts w:ascii="Poppins" w:hAnsi="Poppins" w:cs="Poppins"/>
                <w:spacing w:val="-2"/>
                <w:sz w:val="20"/>
                <w:szCs w:val="20"/>
              </w:rPr>
              <w:fldChar w:fldCharType="end"/>
            </w:r>
            <w:r w:rsidR="00653399">
              <w:rPr>
                <w:rFonts w:ascii="Poppins" w:hAnsi="Poppins" w:cs="Poppins"/>
                <w:spacing w:val="-2"/>
                <w:sz w:val="20"/>
                <w:szCs w:val="20"/>
              </w:rPr>
            </w:r>
            <w:r w:rsidR="00653399">
              <w:rPr>
                <w:rFonts w:ascii="Poppins" w:hAnsi="Poppins" w:cs="Poppins"/>
                <w:spacing w:val="-2"/>
                <w:sz w:val="20"/>
                <w:szCs w:val="20"/>
              </w:rPr>
              <w:fldChar w:fldCharType="separate"/>
            </w:r>
            <w:r w:rsidRPr="00653399" w:rsidR="00653399">
              <w:rPr>
                <w:rFonts w:ascii="Poppins" w:hAnsi="Poppins" w:cs="Poppins"/>
                <w:noProof/>
                <w:spacing w:val="-2"/>
                <w:sz w:val="20"/>
                <w:szCs w:val="20"/>
                <w:vertAlign w:val="superscript"/>
              </w:rPr>
              <w:t>(Lledó-Delgado, 2024)</w:t>
            </w:r>
            <w:r w:rsidR="00653399">
              <w:rPr>
                <w:rFonts w:ascii="Poppins" w:hAnsi="Poppins" w:cs="Poppins"/>
                <w:spacing w:val="-2"/>
                <w:sz w:val="20"/>
                <w:szCs w:val="20"/>
              </w:rPr>
              <w:fldChar w:fldCharType="end"/>
            </w:r>
            <w:r w:rsidRPr="00B146B6">
              <w:rPr>
                <w:rFonts w:ascii="Poppins" w:hAnsi="Poppins" w:cs="Poppins"/>
                <w:spacing w:val="-2"/>
                <w:sz w:val="20"/>
                <w:szCs w:val="20"/>
              </w:rPr>
              <w:t xml:space="preserve">                    </w:t>
            </w:r>
            <w:r w:rsidR="00653399">
              <w:rPr>
                <w:rFonts w:ascii="Poppins" w:hAnsi="Poppins" w:cs="Poppins"/>
                <w:spacing w:val="-2"/>
                <w:sz w:val="20"/>
                <w:szCs w:val="20"/>
              </w:rPr>
              <w:t xml:space="preserve">  </w:t>
            </w:r>
            <w:r w:rsidRPr="00B146B6">
              <w:rPr>
                <w:rFonts w:ascii="Poppins" w:hAnsi="Poppins" w:cs="Poppins"/>
                <w:spacing w:val="-2"/>
                <w:sz w:val="20"/>
                <w:szCs w:val="20"/>
              </w:rPr>
              <w:t xml:space="preserve">                                                                                             </w:t>
            </w:r>
            <w:r w:rsidR="00CA5C45">
              <w:rPr>
                <w:rFonts w:ascii="Poppins" w:hAnsi="Poppins" w:cs="Poppins"/>
                <w:spacing w:val="-2"/>
                <w:sz w:val="20"/>
                <w:szCs w:val="20"/>
              </w:rPr>
              <w:t xml:space="preserve">                  </w:t>
            </w:r>
            <w:r w:rsidRPr="00B146B6">
              <w:rPr>
                <w:rFonts w:ascii="Poppins" w:hAnsi="Poppins" w:eastAsia="Times New Roman" w:cs="Poppins"/>
                <w:bCs/>
                <w:sz w:val="20"/>
                <w:szCs w:val="20"/>
              </w:rPr>
              <w:t>There are potential benefits of this delay in disease progression for patients and the local delivery of healthcare services.</w:t>
            </w:r>
          </w:p>
          <w:p w:rsidRPr="00B146B6" w:rsidR="00B146B6" w:rsidP="001B36EE" w:rsidRDefault="00B146B6" w14:paraId="3F2BFEB9" w14:textId="77777777">
            <w:pPr>
              <w:spacing w:before="120" w:after="60"/>
              <w:rPr>
                <w:rFonts w:ascii="Poppins" w:hAnsi="Poppins" w:eastAsia="Times New Roman" w:cs="Poppins"/>
                <w:bCs/>
                <w:sz w:val="20"/>
                <w:szCs w:val="20"/>
              </w:rPr>
            </w:pPr>
            <w:r w:rsidRPr="00B146B6">
              <w:rPr>
                <w:rFonts w:ascii="Poppins" w:hAnsi="Poppins" w:eastAsia="Times New Roman" w:cs="Poppins"/>
                <w:bCs/>
                <w:sz w:val="20"/>
                <w:szCs w:val="20"/>
              </w:rPr>
              <w:t>Implementing a service to delay progression may improve patient satisfaction due to:</w:t>
            </w:r>
          </w:p>
          <w:p w:rsidRPr="00B146B6" w:rsidR="00B146B6" w:rsidP="001B36EE" w:rsidRDefault="00B146B6" w14:paraId="15D7D23B" w14:textId="77777777">
            <w:pPr>
              <w:pStyle w:val="ListParagraph"/>
              <w:numPr>
                <w:ilvl w:val="0"/>
                <w:numId w:val="10"/>
              </w:numPr>
              <w:ind w:left="357" w:hanging="357"/>
              <w:contextualSpacing w:val="0"/>
              <w:rPr>
                <w:rFonts w:ascii="Poppins" w:hAnsi="Poppins" w:eastAsia="Times New Roman" w:cs="Poppins"/>
                <w:bCs/>
                <w:sz w:val="20"/>
                <w:szCs w:val="20"/>
              </w:rPr>
            </w:pPr>
            <w:r w:rsidRPr="00B146B6">
              <w:rPr>
                <w:rFonts w:ascii="Poppins" w:hAnsi="Poppins" w:eastAsia="Times New Roman" w:cs="Poppins"/>
                <w:bCs/>
                <w:sz w:val="20"/>
                <w:szCs w:val="20"/>
              </w:rPr>
              <w:t>Additional years free from the social stigma and lifestyle disruptions associated with T1D</w:t>
            </w:r>
            <w:r w:rsidRPr="00B146B6">
              <w:rPr>
                <w:rFonts w:ascii="Poppins" w:hAnsi="Poppins" w:eastAsia="Times New Roman"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Ij4oSGVyb2xkLCAyMDE5OyBEeWJkYWwsIDIwMTg7IEFzaHJhZiwgMjAyNDsgRWRlbG1hbiwgMjAy
Myk8L3N0eWxlPjwvRGlzcGxheVRleHQ+PHJlY29yZD48cmVjLW51bWJlcj4yOTMyNjwvcmVjLW51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aXRlPjxBdXRob3I+QXNocmFmPC9BdXRob3I+PFllYXI+MjAyNDwvWWVhcj48UmVjTnVtPjI5MzIz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</w:fldData>
              </w:fldChar>
            </w:r>
            <w:r w:rsidRPr="00B146B6">
              <w:rPr>
                <w:rFonts w:ascii="Poppins" w:hAnsi="Poppins" w:eastAsia="Times New Roman" w:cs="Poppins"/>
                <w:bCs/>
                <w:sz w:val="20"/>
                <w:szCs w:val="20"/>
              </w:rPr>
              <w:instrText xml:space="preserve"> ADDIN EN.CITE </w:instrText>
            </w:r>
            <w:r w:rsidRPr="00B146B6">
              <w:rPr>
                <w:rFonts w:ascii="Poppins" w:hAnsi="Poppins" w:eastAsia="Times New Roman" w:cs="Poppins"/>
                <w:bCs/>
                <w:sz w:val="20"/>
                <w:szCs w:val="20"/>
              </w:rPr>
              <w:fldChar w:fldCharType="begin">
                <w:fldData xml:space="preserve">PEVuZE5vdGU+PENpdGU+PEF1dGhvcj5IZXJvbGQ8L0F1dGhvcj48WWVhcj4yMDE5PC9ZZWFyPjxS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</w:fldData>
              </w:fldChar>
            </w:r>
            <w:r w:rsidRPr="00B146B6">
              <w:rPr>
                <w:rFonts w:ascii="Poppins" w:hAnsi="Poppins" w:eastAsia="Times New Roman" w:cs="Poppins"/>
                <w:bCs/>
                <w:sz w:val="20"/>
                <w:szCs w:val="20"/>
              </w:rPr>
              <w:instrText xml:space="preserve"> ADDIN EN.CITE.DATA </w:instrText>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end"/>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separate"/>
            </w:r>
            <w:r w:rsidRPr="00B146B6">
              <w:rPr>
                <w:rFonts w:ascii="Poppins" w:hAnsi="Poppins" w:eastAsia="Times New Roman" w:cs="Poppins"/>
                <w:bCs/>
                <w:noProof/>
                <w:sz w:val="20"/>
                <w:szCs w:val="20"/>
                <w:vertAlign w:val="superscript"/>
              </w:rPr>
              <w:t>(Herold, 2019; Dybdal, 2018; Ashraf, 2024; Edelman, 2023)</w:t>
            </w:r>
            <w:r w:rsidRPr="00B146B6">
              <w:rPr>
                <w:rFonts w:ascii="Poppins" w:hAnsi="Poppins" w:eastAsia="Times New Roman" w:cs="Poppins"/>
                <w:bCs/>
                <w:sz w:val="20"/>
                <w:szCs w:val="20"/>
              </w:rPr>
              <w:fldChar w:fldCharType="end"/>
            </w:r>
          </w:p>
          <w:p w:rsidRPr="00B146B6" w:rsidR="00B146B6" w:rsidP="001B36EE" w:rsidRDefault="00B146B6" w14:paraId="13A8DECE" w14:textId="77777777">
            <w:pPr>
              <w:pStyle w:val="ListParagraph"/>
              <w:numPr>
                <w:ilvl w:val="0"/>
                <w:numId w:val="10"/>
              </w:numPr>
              <w:ind w:left="357" w:hanging="357"/>
              <w:contextualSpacing w:val="0"/>
              <w:rPr>
                <w:rFonts w:ascii="Poppins" w:hAnsi="Poppins" w:eastAsia="Times New Roman" w:cs="Poppins"/>
                <w:bCs/>
                <w:sz w:val="20"/>
                <w:szCs w:val="20"/>
              </w:rPr>
            </w:pPr>
            <w:r w:rsidRPr="00B146B6">
              <w:rPr>
                <w:rFonts w:ascii="Poppins" w:hAnsi="Poppins" w:eastAsia="Times New Roman" w:cs="Poppins"/>
                <w:bCs/>
                <w:sz w:val="20"/>
                <w:szCs w:val="20"/>
              </w:rPr>
              <w:t>Time to learn how to achieve optimal glycaemic control before insulin initiation</w:t>
            </w:r>
            <w:r w:rsidRPr="00B146B6">
              <w:rPr>
                <w:rFonts w:ascii="Poppins" w:hAnsi="Poppins" w:eastAsia="Times New Roman" w:cs="Poppins"/>
                <w:bCs/>
                <w:sz w:val="20"/>
                <w:szCs w:val="20"/>
              </w:rPr>
              <w:fldChar w:fldCharType="begin"/>
            </w:r>
            <w:r w:rsidRPr="00B146B6">
              <w:rPr>
                <w:rFonts w:ascii="Poppins" w:hAnsi="Poppins" w:eastAsia="Times New Roman" w:cs="Poppins"/>
                <w:bCs/>
                <w:sz w:val="20"/>
                <w:szCs w:val="20"/>
              </w:rPr>
              <w:instrText xml:space="preserve"> ADDIN EN.CITE &lt;EndNote&gt;&lt;Cite&gt;&lt;Author&gt;NICE NG17&lt;/Author&gt;&lt;Year&gt;2022&lt;/Year&gt;&lt;RecNum&gt;29446&lt;/RecNum&gt;&lt;DisplayText&gt;&lt;style face="superscript"&gt;(NICE NG17, 2022; NICE NG18, 2023)&lt;/style&gt;&lt;/DisplayText&gt;&lt;record&gt;&lt;rec-number&gt;29446&lt;/rec-number&gt;&lt;foreign-keys&gt;&lt;key app="EN" db-id="f5f5va0252p5fee95pj55es3tdereta29dxz" timestamp="1748530536" guid="c8955a3b-7005-4304-b44b-547f1548a4e6"&gt;29446&lt;/key&gt;&lt;/foreign-keys&gt;&lt;ref-type name="Electronic Article"&gt;43&lt;/ref-type&gt;&lt;contributors&gt;&lt;authors&gt;&lt;author&gt;NICE NG17,&lt;/author&gt;&lt;/authors&gt;&lt;/contributors&gt;&lt;titles&gt;&lt;title&gt;Type 1 diabetes in adults: diagnosis and management&lt;/title&gt;&lt;/titles&gt;&lt;dates&gt;&lt;year&gt;2022&lt;/year&gt;&lt;pub-dates&gt;&lt;date&gt;June 2025&lt;/date&gt;&lt;/pub-dates&gt;&lt;/dates&gt;&lt;urls&gt;&lt;related-urls&gt;&lt;url&gt;https://www.nice.org.uk/guidance/ng17&lt;/url&gt;&lt;/related-urls&gt;&lt;/urls&gt;&lt;/record&gt;&lt;/Cite&gt;&lt;Cite&gt;&lt;Author&gt;NICE NG18&lt;/Author&gt;&lt;Year&gt;2023&lt;/Year&gt;&lt;RecNum&gt;29445&lt;/RecNum&gt;&lt;record&gt;&lt;rec-number&gt;29445&lt;/rec-number&gt;&lt;foreign-keys&gt;&lt;key app="EN" db-id="f5f5va0252p5fee95pj55es3tdereta29dxz" timestamp="1748530536" guid="0af4bda5-d23d-41ff-a3ea-ad75a437ab8f"&gt;29445&lt;/key&gt;&lt;/foreign-keys&gt;&lt;ref-type name="Electronic Article"&gt;43&lt;/ref-type&gt;&lt;contributors&gt;&lt;authors&gt;&lt;author&gt;NICE NG18,&lt;/author&gt;&lt;/authors&gt;&lt;/contributors&gt;&lt;titles&gt;&lt;title&gt;Diabetes (type 1 and type 2) in children and young people: diagnosis and management&lt;/title&gt;&lt;/titles&gt;&lt;dates&gt;&lt;year&gt;2023&lt;/year&gt;&lt;pub-dates&gt;&lt;date&gt;June 2025&lt;/date&gt;&lt;/pub-dates&gt;&lt;/dates&gt;&lt;urls&gt;&lt;related-urls&gt;&lt;url&gt;www.nice.org.uk/guidance/ng18&lt;/url&gt;&lt;/related-urls&gt;&lt;/urls&gt;&lt;/record&gt;&lt;/Cite&gt;&lt;/EndNote&gt;</w:instrText>
            </w:r>
            <w:r w:rsidRPr="00B146B6">
              <w:rPr>
                <w:rFonts w:ascii="Poppins" w:hAnsi="Poppins" w:eastAsia="Times New Roman" w:cs="Poppins"/>
                <w:bCs/>
                <w:sz w:val="20"/>
                <w:szCs w:val="20"/>
              </w:rPr>
              <w:fldChar w:fldCharType="separate"/>
            </w:r>
            <w:r w:rsidRPr="00B146B6">
              <w:rPr>
                <w:rFonts w:ascii="Poppins" w:hAnsi="Poppins" w:eastAsia="Times New Roman" w:cs="Poppins"/>
                <w:bCs/>
                <w:noProof/>
                <w:sz w:val="20"/>
                <w:szCs w:val="20"/>
                <w:vertAlign w:val="superscript"/>
              </w:rPr>
              <w:t>(NICE NG17, 2022; NICE NG18, 2023)</w:t>
            </w:r>
            <w:r w:rsidRPr="00B146B6">
              <w:rPr>
                <w:rFonts w:ascii="Poppins" w:hAnsi="Poppins" w:eastAsia="Times New Roman" w:cs="Poppins"/>
                <w:bCs/>
                <w:sz w:val="20"/>
                <w:szCs w:val="20"/>
              </w:rPr>
              <w:fldChar w:fldCharType="end"/>
            </w:r>
          </w:p>
          <w:p w:rsidRPr="00EF1644" w:rsidR="00B146B6" w:rsidP="001B36EE" w:rsidRDefault="00B146B6" w14:paraId="22F6805C" w14:textId="77777777">
            <w:pPr>
              <w:pStyle w:val="ListParagraph"/>
              <w:numPr>
                <w:ilvl w:val="0"/>
                <w:numId w:val="10"/>
              </w:numPr>
              <w:ind w:left="357" w:hanging="357"/>
              <w:contextualSpacing w:val="0"/>
              <w:rPr>
                <w:rFonts w:ascii="Poppins" w:hAnsi="Poppins" w:cs="Poppins"/>
                <w:color w:val="0023C8"/>
              </w:rPr>
            </w:pPr>
            <w:r w:rsidRPr="00B146B6">
              <w:rPr>
                <w:rFonts w:ascii="Poppins" w:hAnsi="Poppins" w:eastAsia="Times New Roman" w:cs="Poppins"/>
                <w:bCs/>
                <w:sz w:val="20"/>
                <w:szCs w:val="20"/>
              </w:rPr>
              <w:t>A smoother transition to life with symptomatic T1D than if immediately starting on insulin at diagnosis</w:t>
            </w:r>
            <w:r w:rsidRPr="00B146B6">
              <w:rPr>
                <w:rFonts w:ascii="Poppins" w:hAnsi="Poppins" w:eastAsia="Times New Roman" w:cs="Poppins"/>
                <w:bCs/>
                <w:sz w:val="20"/>
                <w:szCs w:val="20"/>
              </w:rPr>
              <w:fldChar w:fldCharType="begin">
                <w:fldData xml:space="preserve">PEVuZE5vdGU+PENpdGU+PEF1dGhvcj5IdW1tZWw8L0F1dGhvcj48WWVhcj4yMDIzPC9ZZWFyPjxS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b3ZpZGVyPjxsYW5ndWFnZT5lbmc8L2xhbmd1YWdlPjwvcmVjb3JkPjwvQ2l0ZT48L0VuZE5vdGU+
AG==
</w:fldData>
              </w:fldChar>
            </w:r>
            <w:r w:rsidRPr="00B146B6">
              <w:rPr>
                <w:rFonts w:ascii="Poppins" w:hAnsi="Poppins" w:eastAsia="Times New Roman" w:cs="Poppins"/>
                <w:bCs/>
                <w:sz w:val="20"/>
                <w:szCs w:val="20"/>
              </w:rPr>
              <w:instrText xml:space="preserve"> ADDIN EN.CITE </w:instrText>
            </w:r>
            <w:r w:rsidRPr="00B146B6">
              <w:rPr>
                <w:rFonts w:ascii="Poppins" w:hAnsi="Poppins" w:eastAsia="Times New Roman" w:cs="Poppins"/>
                <w:bCs/>
                <w:sz w:val="20"/>
                <w:szCs w:val="20"/>
              </w:rPr>
              <w:fldChar w:fldCharType="begin">
                <w:fldData xml:space="preserve">PEVuZE5vdGU+PENpdGU+PEF1dGhvcj5IdW1tZWw8L0F1dGhvcj48WWVhcj4yMDIzPC9ZZWFyPjxS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</w:fldData>
              </w:fldChar>
            </w:r>
            <w:r w:rsidRPr="00B146B6">
              <w:rPr>
                <w:rFonts w:ascii="Poppins" w:hAnsi="Poppins" w:eastAsia="Times New Roman" w:cs="Poppins"/>
                <w:bCs/>
                <w:sz w:val="20"/>
                <w:szCs w:val="20"/>
              </w:rPr>
              <w:instrText xml:space="preserve"> ADDIN EN.CITE.DATA </w:instrText>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end"/>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separate"/>
            </w:r>
            <w:r w:rsidRPr="00B146B6">
              <w:rPr>
                <w:rFonts w:ascii="Poppins" w:hAnsi="Poppins" w:eastAsia="Times New Roman" w:cs="Poppins"/>
                <w:bCs/>
                <w:noProof/>
                <w:sz w:val="20"/>
                <w:szCs w:val="20"/>
                <w:vertAlign w:val="superscript"/>
              </w:rPr>
              <w:t>(Hummel, 2023; Besser, 2022)</w:t>
            </w:r>
            <w:r w:rsidRPr="00B146B6">
              <w:rPr>
                <w:rFonts w:ascii="Poppins" w:hAnsi="Poppins" w:eastAsia="Times New Roman" w:cs="Poppins"/>
                <w:bCs/>
                <w:sz w:val="20"/>
                <w:szCs w:val="20"/>
              </w:rPr>
              <w:fldChar w:fldCharType="end"/>
            </w:r>
          </w:p>
          <w:p w:rsidRPr="00B146B6" w:rsidR="00EF1644" w:rsidP="001B36EE" w:rsidRDefault="00EF1644" w14:paraId="0CF4E0D4" w14:textId="0B3107ED">
            <w:pPr>
              <w:pStyle w:val="ListParagraph"/>
              <w:numPr>
                <w:ilvl w:val="0"/>
                <w:numId w:val="10"/>
              </w:numPr>
              <w:ind w:left="357" w:hanging="357"/>
              <w:contextualSpacing w:val="0"/>
              <w:rPr>
                <w:rFonts w:ascii="Poppins" w:hAnsi="Poppins" w:cs="Poppins"/>
                <w:color w:val="0023C8"/>
              </w:rPr>
            </w:pPr>
            <w:r w:rsidRPr="00EF1644">
              <w:rPr>
                <w:rFonts w:ascii="Poppins" w:hAnsi="Poppins" w:eastAsia="Times New Roman" w:cs="Poppins"/>
                <w:bCs/>
                <w:sz w:val="20"/>
                <w:szCs w:val="20"/>
              </w:rPr>
              <w:t>The potential to change the long-term disease trajectory</w:t>
            </w:r>
            <w:r w:rsidRPr="00B146B6">
              <w:rPr>
                <w:rFonts w:ascii="Poppins" w:hAnsi="Poppins" w:eastAsia="Times New Roman"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hAnsi="Poppins" w:eastAsia="Times New Roman" w:cs="Poppins"/>
                <w:bCs/>
                <w:sz w:val="20"/>
                <w:szCs w:val="20"/>
              </w:rPr>
              <w:instrText xml:space="preserve"> ADDIN EN.CITE </w:instrText>
            </w:r>
            <w:r w:rsidRPr="00B146B6">
              <w:rPr>
                <w:rFonts w:ascii="Poppins" w:hAnsi="Poppins" w:eastAsia="Times New Roman" w:cs="Poppins"/>
                <w:bCs/>
                <w:sz w:val="20"/>
                <w:szCs w:val="20"/>
              </w:rPr>
              <w:fldChar w:fldCharType="begin">
                <w:fldData xml:space="preserve">PEVuZE5vdGU+PENpdGU+PFJlY051bT4yOTMwMzwvUmVjTnVtPjxEaXNwbGF5VGV4dD48c3R5bGUg
ZmFjZT0ic3VwZXJzY3JpcHQiPihIZXJvbGQsIDIwMTk7IE5hZ3ksIDIwMjI7IGRpYVRyaWFiIExl
YXJuLCAyMDI1OyBUWklFTETCriBTbVBDKTwvc3R5bGU+PC9EaXNwbGF5VGV4dD48cmVjb3JkPjxy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Y29yZD48L0NpdGU+PENpdGU+PFJlY051bT4yOTMwMzwvUmVjTnVtPjxyZWNvcmQ+PHJlYy1udW1i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</w:fldData>
              </w:fldChar>
            </w:r>
            <w:r w:rsidRPr="00B146B6">
              <w:rPr>
                <w:rFonts w:ascii="Poppins" w:hAnsi="Poppins" w:eastAsia="Times New Roman" w:cs="Poppins"/>
                <w:bCs/>
                <w:sz w:val="20"/>
                <w:szCs w:val="20"/>
              </w:rPr>
              <w:instrText xml:space="preserve"> ADDIN EN.CITE.DATA </w:instrText>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end"/>
            </w:r>
            <w:r w:rsidRPr="00B146B6">
              <w:rPr>
                <w:rFonts w:ascii="Poppins" w:hAnsi="Poppins" w:eastAsia="Times New Roman" w:cs="Poppins"/>
                <w:bCs/>
                <w:sz w:val="20"/>
                <w:szCs w:val="20"/>
              </w:rPr>
            </w:r>
            <w:r w:rsidRPr="00B146B6">
              <w:rPr>
                <w:rFonts w:ascii="Poppins" w:hAnsi="Poppins" w:eastAsia="Times New Roman" w:cs="Poppins"/>
                <w:bCs/>
                <w:sz w:val="20"/>
                <w:szCs w:val="20"/>
              </w:rPr>
              <w:fldChar w:fldCharType="separate"/>
            </w:r>
            <w:r w:rsidRPr="00B146B6">
              <w:rPr>
                <w:rFonts w:ascii="Poppins" w:hAnsi="Poppins" w:eastAsia="Times New Roman" w:cs="Poppins"/>
                <w:bCs/>
                <w:noProof/>
                <w:sz w:val="20"/>
                <w:szCs w:val="20"/>
                <w:vertAlign w:val="superscript"/>
              </w:rPr>
              <w:t>(Herold, 2019; Nagy, 2022; diaTriab Learn, 2025; TZIELD® SmPC)</w:t>
            </w:r>
            <w:r w:rsidRPr="00B146B6">
              <w:rPr>
                <w:rFonts w:ascii="Poppins" w:hAnsi="Poppins" w:eastAsia="Times New Roman" w:cs="Poppins"/>
                <w:bCs/>
                <w:sz w:val="20"/>
                <w:szCs w:val="20"/>
              </w:rPr>
              <w:fldChar w:fldCharType="end"/>
            </w:r>
          </w:p>
        </w:tc>
      </w:tr>
      <w:tr w:rsidRPr="00C43185" w:rsidR="00B146B6" w:rsidTr="007624A2" w14:paraId="77FACE83" w14:textId="77777777">
        <w:tc>
          <w:tcPr>
            <w:tcW w:w="8772" w:type="dxa"/>
          </w:tcPr>
          <w:p w:rsidRPr="00B146B6" w:rsidR="00B146B6" w:rsidP="001B36EE" w:rsidRDefault="00B146B6" w14:paraId="245441FE" w14:textId="77777777">
            <w:pPr>
              <w:spacing w:after="60"/>
              <w:rPr>
                <w:rFonts w:ascii="Poppins" w:hAnsi="Poppins" w:eastAsia="Times New Roman" w:cs="Poppins"/>
                <w:bCs/>
                <w:sz w:val="20"/>
                <w:szCs w:val="20"/>
              </w:rPr>
            </w:pPr>
            <w:r w:rsidRPr="00B146B6">
              <w:rPr>
                <w:rFonts w:ascii="Poppins" w:hAnsi="Poppins" w:eastAsia="Times New Roman" w:cs="Poppins"/>
                <w:bCs/>
                <w:sz w:val="20"/>
                <w:szCs w:val="20"/>
              </w:rPr>
              <w:t>Implementing a service to delay progression aligns to the Trust/ICS priorities by providing:</w:t>
            </w:r>
          </w:p>
          <w:p w:rsidRPr="00B146B6" w:rsidR="00B146B6" w:rsidP="001B36EE" w:rsidRDefault="00B146B6" w14:paraId="4F74726E" w14:textId="1060FB14">
            <w:pPr>
              <w:pStyle w:val="ListParagraph"/>
              <w:numPr>
                <w:ilvl w:val="0"/>
                <w:numId w:val="10"/>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 xml:space="preserve">Flexibility to </w:t>
            </w:r>
            <w:r w:rsidR="00D34BB0">
              <w:rPr>
                <w:rFonts w:ascii="Poppins" w:hAnsi="Poppins" w:eastAsia="Times New Roman" w:cs="Poppins"/>
                <w:bCs/>
                <w:sz w:val="20"/>
                <w:szCs w:val="20"/>
              </w:rPr>
              <w:t>r</w:t>
            </w:r>
            <w:r w:rsidR="006456C5">
              <w:rPr>
                <w:rFonts w:ascii="Poppins" w:hAnsi="Poppins" w:eastAsia="Times New Roman" w:cs="Poppins"/>
                <w:bCs/>
                <w:sz w:val="20"/>
                <w:szCs w:val="20"/>
              </w:rPr>
              <w:t>eorganize</w:t>
            </w:r>
            <w:r w:rsidRPr="00B146B6">
              <w:rPr>
                <w:rFonts w:ascii="Poppins" w:hAnsi="Poppins" w:eastAsia="Times New Roman" w:cs="Poppins"/>
                <w:bCs/>
                <w:sz w:val="20"/>
                <w:szCs w:val="20"/>
              </w:rPr>
              <w:t xml:space="preserve"> capacity in specialist diabetes service appointments due to reduced need for immediate initiation of insulin</w:t>
            </w:r>
          </w:p>
          <w:p w:rsidRPr="00B146B6" w:rsidR="00B146B6" w:rsidP="001B36EE" w:rsidRDefault="00B146B6" w14:paraId="4156D8E7" w14:textId="77777777">
            <w:pPr>
              <w:pStyle w:val="ListParagraph"/>
              <w:numPr>
                <w:ilvl w:val="0"/>
                <w:numId w:val="10"/>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 xml:space="preserve">A short-term cost saving associated with insulin and blood glucose monitoring consumables, including hybrid </w:t>
            </w:r>
            <w:proofErr w:type="gramStart"/>
            <w:r w:rsidRPr="00B146B6">
              <w:rPr>
                <w:rFonts w:ascii="Poppins" w:hAnsi="Poppins" w:eastAsia="Times New Roman" w:cs="Poppins"/>
                <w:bCs/>
                <w:sz w:val="20"/>
                <w:szCs w:val="20"/>
              </w:rPr>
              <w:t>closed-loop</w:t>
            </w:r>
            <w:proofErr w:type="gramEnd"/>
            <w:r w:rsidRPr="00B146B6">
              <w:rPr>
                <w:rFonts w:ascii="Poppins" w:hAnsi="Poppins" w:eastAsia="Times New Roman" w:cs="Poppins"/>
                <w:bCs/>
                <w:sz w:val="20"/>
                <w:szCs w:val="20"/>
              </w:rPr>
              <w:t xml:space="preserve"> (HCL) systems</w:t>
            </w:r>
          </w:p>
          <w:p w:rsidRPr="00B146B6" w:rsidR="00B146B6" w:rsidP="001B36EE" w:rsidRDefault="00B146B6" w14:paraId="3BCBE1D2" w14:textId="77777777">
            <w:pPr>
              <w:pStyle w:val="ListParagraph"/>
              <w:numPr>
                <w:ilvl w:val="0"/>
                <w:numId w:val="10"/>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A reduction in use of single-use plastics associated with insulin and consumables</w:t>
            </w:r>
            <w:r w:rsidRPr="00B146B6">
              <w:rPr>
                <w:rFonts w:ascii="Poppins" w:hAnsi="Poppins" w:eastAsia="Times New Roman" w:cs="Poppins"/>
                <w:bCs/>
                <w:sz w:val="20"/>
                <w:szCs w:val="20"/>
              </w:rPr>
              <w:fldChar w:fldCharType="begin"/>
            </w:r>
            <w:r w:rsidRPr="00B146B6">
              <w:rPr>
                <w:rFonts w:ascii="Poppins" w:hAnsi="Poppins" w:eastAsia="Times New Roman" w:cs="Poppins"/>
                <w:bCs/>
                <w:sz w:val="20"/>
                <w:szCs w:val="20"/>
              </w:rPr>
              <w:instrText xml:space="preserve"> ADDIN EN.CITE &lt;EndNote&gt;&lt;Cite&gt;&lt;Author&gt;BMC Medicine&lt;/Author&gt;&lt;Year&gt;2023&lt;/Year&gt;&lt;RecNum&gt;29469&lt;/RecNum&gt;&lt;DisplayText&gt;&lt;style face="superscript"&gt;(BMC Medicine, 2023)&lt;/style&gt;&lt;/DisplayText&gt;&lt;record&gt;&lt;rec-number&gt;29469&lt;/rec-number&gt;&lt;foreign-keys&gt;&lt;key app="EN" db-id="f5f5va0252p5fee95pj55es3tdereta29dxz" timestamp="1750088120" guid="d51b6143-6ee4-497e-a756-b9bd8e1653c2"&gt;29469&lt;/key&gt;&lt;/foreign-keys&gt;&lt;ref-type name="Journal Article"&gt;17&lt;/ref-type&gt;&lt;contributors&gt;&lt;authors&gt;&lt;author&gt;BMC Medicine,&lt;/author&gt;&lt;/authors&gt;&lt;/contributors&gt;&lt;titles&gt;&lt;title&gt;Diabetes and climate change: breaking the vicious cycle&lt;/title&gt;&lt;secondary-title&gt;BMC Medicine&lt;/secondary-title&gt;&lt;/titles&gt;&lt;periodical&gt;&lt;full-title&gt;BMC Medicine&lt;/full-title&gt;&lt;/periodical&gt;&lt;pages&gt;281&lt;/pages&gt;&lt;volume&gt;21&lt;/volume&gt;&lt;number&gt;1&lt;/number&gt;&lt;dates&gt;&lt;year&gt;2023&lt;/year&gt;&lt;/dates&gt;&lt;publisher&gt;Springer Science and Business Media LLC&lt;/publisher&gt;&lt;isbn&gt;1741-7015&lt;/isbn&gt;&lt;urls&gt;&lt;related-urls&gt;&lt;url&gt;https://dx.doi.org/10.1186/s12916-023-02980-x&lt;/url&gt;&lt;/related-urls&gt;&lt;/urls&gt;&lt;electronic-resource-num&gt;10.1186/s12916-023-02980-x&lt;/electronic-resource-num&gt;&lt;/record&gt;&lt;/Cite&gt;&lt;/EndNote&gt;</w:instrText>
            </w:r>
            <w:r w:rsidRPr="00B146B6">
              <w:rPr>
                <w:rFonts w:ascii="Poppins" w:hAnsi="Poppins" w:eastAsia="Times New Roman" w:cs="Poppins"/>
                <w:bCs/>
                <w:sz w:val="20"/>
                <w:szCs w:val="20"/>
              </w:rPr>
              <w:fldChar w:fldCharType="separate"/>
            </w:r>
            <w:r w:rsidRPr="00B146B6">
              <w:rPr>
                <w:rFonts w:ascii="Poppins" w:hAnsi="Poppins" w:eastAsia="Times New Roman" w:cs="Poppins"/>
                <w:bCs/>
                <w:noProof/>
                <w:sz w:val="20"/>
                <w:szCs w:val="20"/>
                <w:vertAlign w:val="superscript"/>
              </w:rPr>
              <w:t>(BMC Medicine, 2023)</w:t>
            </w:r>
            <w:r w:rsidRPr="00B146B6">
              <w:rPr>
                <w:rFonts w:ascii="Poppins" w:hAnsi="Poppins" w:eastAsia="Times New Roman" w:cs="Poppins"/>
                <w:bCs/>
                <w:sz w:val="20"/>
                <w:szCs w:val="20"/>
              </w:rPr>
              <w:fldChar w:fldCharType="end"/>
            </w:r>
          </w:p>
          <w:p w:rsidR="00B146B6" w:rsidP="001B36EE" w:rsidRDefault="00B146B6" w14:paraId="658B1687" w14:textId="6AC13274">
            <w:pPr>
              <w:pStyle w:val="ListParagraph"/>
              <w:numPr>
                <w:ilvl w:val="0"/>
                <w:numId w:val="10"/>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A reduction in transport costs and associated emissions for patients and families, especially those in rural areas</w:t>
            </w:r>
          </w:p>
          <w:p w:rsidRPr="0053594C" w:rsidR="0053594C" w:rsidP="001B36EE" w:rsidRDefault="0053594C" w14:paraId="3C746A40" w14:textId="3B1C28B3">
            <w:pPr>
              <w:spacing w:before="120" w:after="60"/>
              <w:rPr>
                <w:rFonts w:ascii="Poppins" w:hAnsi="Poppins" w:eastAsia="Times New Roman" w:cs="Poppins"/>
                <w:bCs/>
                <w:sz w:val="20"/>
                <w:szCs w:val="20"/>
              </w:rPr>
            </w:pPr>
            <w:r>
              <w:rPr>
                <w:rFonts w:ascii="Poppins" w:hAnsi="Poppins" w:eastAsia="Times New Roman" w:cs="Poppins"/>
                <w:bCs/>
                <w:sz w:val="20"/>
                <w:szCs w:val="20"/>
              </w:rPr>
              <w:t>These benefits will be realised in the longer term as more people are identified and treated in Stage 2 T1D.</w:t>
            </w:r>
          </w:p>
          <w:p w:rsidRPr="00B146B6" w:rsidR="00B146B6" w:rsidP="001B36EE" w:rsidRDefault="00B146B6" w14:paraId="37AD9F73" w14:textId="0DB1C270">
            <w:pPr>
              <w:spacing w:after="60"/>
              <w:rPr>
                <w:rFonts w:ascii="Poppins" w:hAnsi="Poppins" w:eastAsia="Times New Roman" w:cs="Poppins"/>
                <w:bCs/>
                <w:sz w:val="20"/>
                <w:szCs w:val="20"/>
              </w:rPr>
            </w:pPr>
            <w:r w:rsidRPr="00B146B6">
              <w:rPr>
                <w:rFonts w:ascii="Poppins" w:hAnsi="Poppins" w:eastAsia="Calibri" w:cs="Poppins"/>
                <w:color w:val="A6A6A6" w:themeColor="background1" w:themeShade="A6"/>
                <w:sz w:val="20"/>
                <w:szCs w:val="20"/>
              </w:rPr>
              <w:t>&lt;Insert any local benefits of the service being delivered in your Trust. Consider any issues you think that the service might help overcome, e.g., capacity to manage new insulin initiation, levels of DKA admissions, issues with transition between paediatric and adult services&gt;</w:t>
            </w:r>
          </w:p>
          <w:p w:rsidRPr="00B146B6" w:rsidR="00B146B6" w:rsidP="001B36EE" w:rsidRDefault="00B146B6" w14:paraId="1ACAC703" w14:textId="77777777">
            <w:pPr>
              <w:spacing w:before="120" w:after="60"/>
              <w:rPr>
                <w:rFonts w:ascii="Poppins" w:hAnsi="Poppins" w:eastAsia="Times New Roman" w:cs="Poppins"/>
                <w:bCs/>
                <w:sz w:val="20"/>
                <w:szCs w:val="20"/>
              </w:rPr>
            </w:pPr>
            <w:r w:rsidRPr="00B146B6">
              <w:rPr>
                <w:rFonts w:ascii="Poppins" w:hAnsi="Poppins" w:eastAsia="Times New Roman" w:cs="Poppins"/>
                <w:bCs/>
                <w:sz w:val="20"/>
                <w:szCs w:val="20"/>
              </w:rPr>
              <w:t>If this service is not commissioned, the ICS may be exposed to potentially avoidable risks.</w:t>
            </w:r>
          </w:p>
          <w:p w:rsidRPr="00B146B6" w:rsidR="00B146B6" w:rsidP="001B36EE" w:rsidRDefault="00B146B6" w14:paraId="70417576" w14:textId="77777777">
            <w:pPr>
              <w:pStyle w:val="ListParagraph"/>
              <w:numPr>
                <w:ilvl w:val="0"/>
                <w:numId w:val="11"/>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The need for immediate insulin initiation at Stage 3 T1D puts pressure on diabetic specialist services (plus A&amp;E and inpatient beds if diagnosis is at presentation with DKA). Not commissioning a service, to reduce the need for immediate insulin initiation, adds to capacity pressures which may impact the Trust’s ability to meet elective care waiting time targets</w:t>
            </w:r>
          </w:p>
          <w:p w:rsidRPr="00B146B6" w:rsidR="00B146B6" w:rsidP="001B36EE" w:rsidRDefault="00B146B6" w14:paraId="1A4412A0" w14:textId="514C5FDD">
            <w:pPr>
              <w:pStyle w:val="ListParagraph"/>
              <w:numPr>
                <w:ilvl w:val="0"/>
                <w:numId w:val="11"/>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If a service is commissioned in other ICSs or regions, people at risk of developing Stage 3 T1D within this ICS will have inequitable access to treatment</w:t>
            </w:r>
            <w:r w:rsidR="00B0618C">
              <w:rPr>
                <w:rFonts w:ascii="Poppins" w:hAnsi="Poppins" w:eastAsia="Times New Roman" w:cs="Poppins"/>
                <w:bCs/>
                <w:sz w:val="20"/>
                <w:szCs w:val="20"/>
              </w:rPr>
              <w:t xml:space="preserve"> </w:t>
            </w:r>
          </w:p>
          <w:p w:rsidRPr="00B146B6" w:rsidR="00B146B6" w:rsidP="001B36EE" w:rsidRDefault="00B0618C" w14:paraId="408B4730" w14:textId="69DC3FBB">
            <w:pPr>
              <w:pStyle w:val="ListParagraph"/>
              <w:numPr>
                <w:ilvl w:val="0"/>
                <w:numId w:val="11"/>
              </w:numPr>
              <w:spacing w:after="60"/>
              <w:ind w:left="357" w:hanging="357"/>
              <w:contextualSpacing w:val="0"/>
              <w:rPr>
                <w:rFonts w:ascii="Poppins" w:hAnsi="Poppins" w:eastAsia="Times New Roman" w:cs="Poppins"/>
                <w:bCs/>
                <w:sz w:val="20"/>
                <w:szCs w:val="20"/>
              </w:rPr>
            </w:pPr>
            <w:r>
              <w:rPr>
                <w:rFonts w:ascii="Poppins" w:hAnsi="Poppins" w:eastAsia="Times New Roman" w:cs="Poppins"/>
                <w:bCs/>
                <w:sz w:val="20"/>
                <w:szCs w:val="20"/>
              </w:rPr>
              <w:t xml:space="preserve">Bringing adolescents into specialist care before they become symptomatic may allow for a smoother transition into Stage 3 and, subsequently, adult </w:t>
            </w:r>
            <w:proofErr w:type="gramStart"/>
            <w:r>
              <w:rPr>
                <w:rFonts w:ascii="Poppins" w:hAnsi="Poppins" w:eastAsia="Times New Roman" w:cs="Poppins"/>
                <w:bCs/>
                <w:sz w:val="20"/>
                <w:szCs w:val="20"/>
              </w:rPr>
              <w:t>care.</w:t>
            </w:r>
            <w:r w:rsidRPr="00B146B6" w:rsidR="00B146B6">
              <w:rPr>
                <w:rFonts w:ascii="Poppins" w:hAnsi="Poppins" w:eastAsia="Times New Roman" w:cs="Poppins"/>
                <w:bCs/>
                <w:sz w:val="20"/>
                <w:szCs w:val="20"/>
              </w:rPr>
              <w:t>.</w:t>
            </w:r>
            <w:proofErr w:type="gramEnd"/>
            <w:r w:rsidRPr="00B146B6" w:rsidR="00B146B6">
              <w:rPr>
                <w:rFonts w:ascii="Poppins" w:hAnsi="Poppins" w:eastAsia="Times New Roman" w:cs="Poppins"/>
                <w:bCs/>
                <w:sz w:val="20"/>
                <w:szCs w:val="20"/>
              </w:rPr>
              <w:t xml:space="preserve"> Not having access to specialist care in adolescence</w:t>
            </w:r>
            <w:r w:rsidR="007624A2">
              <w:rPr>
                <w:rFonts w:ascii="Poppins" w:hAnsi="Poppins" w:eastAsia="Times New Roman" w:cs="Poppins"/>
                <w:bCs/>
                <w:sz w:val="20"/>
                <w:szCs w:val="20"/>
              </w:rPr>
              <w:t xml:space="preserve"> </w:t>
            </w:r>
            <w:r w:rsidRPr="00B146B6" w:rsidR="00B146B6">
              <w:rPr>
                <w:rFonts w:ascii="Poppins" w:hAnsi="Poppins" w:eastAsia="Times New Roman" w:cs="Poppins"/>
                <w:bCs/>
                <w:sz w:val="20"/>
                <w:szCs w:val="20"/>
              </w:rPr>
              <w:t>may consequently lead to additional costs to the ICS due to poorly managed T1D</w:t>
            </w:r>
            <w:r w:rsidRPr="00B146B6" w:rsidR="00B146B6">
              <w:rPr>
                <w:rFonts w:ascii="Poppins" w:hAnsi="Poppins" w:eastAsia="Times New Roman" w:cs="Poppins"/>
                <w:bCs/>
                <w:sz w:val="20"/>
                <w:szCs w:val="20"/>
              </w:rPr>
              <w:fldChar w:fldCharType="begin"/>
            </w:r>
            <w:r w:rsidRPr="00B146B6" w:rsidR="00B146B6">
              <w:rPr>
                <w:rFonts w:ascii="Poppins" w:hAnsi="Poppins" w:eastAsia="Times New Roman" w:cs="Poppins"/>
                <w:bCs/>
                <w:sz w:val="20"/>
                <w:szCs w:val="20"/>
              </w:rPr>
              <w:instrText xml:space="preserve"> ADDIN EN.CITE &lt;EndNote&gt;&lt;Cite&gt;&lt;Author&gt;NICE&lt;/Author&gt;&lt;Year&gt;2016&lt;/Year&gt;&lt;RecNum&gt;29386&lt;/RecNum&gt;&lt;DisplayText&gt;&lt;style face="superscript"&gt;(NICE, 2016)&lt;/style&gt;&lt;/DisplayText&gt;&lt;record&gt;&lt;rec-number&gt;29386&lt;/rec-number&gt;&lt;foreign-keys&gt;&lt;key app="EN" db-id="f5f5va0252p5fee95pj55es3tdereta29dxz" timestamp="1746542182" guid="55914141-f186-4495-9e01-15fd35ddbf0b"&gt;29386&lt;/key&gt;&lt;/foreign-keys&gt;&lt;ref-type name="Generic"&gt;13&lt;/ref-type&gt;&lt;contributors&gt;&lt;authors&gt;&lt;author&gt;NICE,&lt;/author&gt;&lt;/authors&gt;&lt;/contributors&gt;&lt;titles&gt;&lt;title&gt;Transition from children&amp;apos;s to adults&amp;apos; services for young people using health or social care services Appendix C3- Economic report&lt;/title&gt;&lt;/titles&gt;&lt;dates&gt;&lt;year&gt;2016&lt;/year&gt;&lt;/dates&gt;&lt;urls&gt;&lt;related-urls&gt;&lt;url&gt;https://www.nice.org.uk/guidance/ng43/evidence/appendix-c3-economic-report-pdf-2360240178&lt;/url&gt;&lt;/related-urls&gt;&lt;/urls&gt;&lt;access-date&gt;May 2025&lt;/access-date&gt;&lt;/record&gt;&lt;/Cite&gt;&lt;/EndNote&gt;</w:instrText>
            </w:r>
            <w:r w:rsidRPr="00B146B6" w:rsidR="00B146B6">
              <w:rPr>
                <w:rFonts w:ascii="Poppins" w:hAnsi="Poppins" w:eastAsia="Times New Roman" w:cs="Poppins"/>
                <w:bCs/>
                <w:sz w:val="20"/>
                <w:szCs w:val="20"/>
              </w:rPr>
              <w:fldChar w:fldCharType="separate"/>
            </w:r>
            <w:r w:rsidRPr="00B146B6" w:rsidR="00B146B6">
              <w:rPr>
                <w:rFonts w:ascii="Poppins" w:hAnsi="Poppins" w:eastAsia="Times New Roman" w:cs="Poppins"/>
                <w:bCs/>
                <w:noProof/>
                <w:sz w:val="20"/>
                <w:szCs w:val="20"/>
                <w:vertAlign w:val="superscript"/>
              </w:rPr>
              <w:t>(NICE, 2016)</w:t>
            </w:r>
            <w:r w:rsidRPr="00B146B6" w:rsidR="00B146B6">
              <w:rPr>
                <w:rFonts w:ascii="Poppins" w:hAnsi="Poppins" w:eastAsia="Times New Roman" w:cs="Poppins"/>
                <w:bCs/>
                <w:sz w:val="20"/>
                <w:szCs w:val="20"/>
              </w:rPr>
              <w:fldChar w:fldCharType="end"/>
            </w:r>
          </w:p>
          <w:p w:rsidRPr="00B146B6" w:rsidR="00B146B6" w:rsidP="001B36EE" w:rsidRDefault="00B146B6" w14:paraId="1AEFAE34" w14:textId="264B67E8">
            <w:pPr>
              <w:pStyle w:val="ListParagraph"/>
              <w:numPr>
                <w:ilvl w:val="0"/>
                <w:numId w:val="11"/>
              </w:numPr>
              <w:spacing w:after="60"/>
              <w:ind w:left="360"/>
              <w:contextualSpacing w:val="0"/>
              <w:rPr>
                <w:rFonts w:ascii="Poppins" w:hAnsi="Poppins" w:eastAsia="Times New Roman" w:cs="Poppins"/>
                <w:bCs/>
                <w:sz w:val="20"/>
                <w:szCs w:val="20"/>
              </w:rPr>
            </w:pPr>
            <w:r w:rsidRPr="00B146B6">
              <w:rPr>
                <w:rFonts w:ascii="Poppins" w:hAnsi="Poppins" w:eastAsia="Times New Roman" w:cs="Poppins"/>
                <w:bCs/>
                <w:sz w:val="20"/>
                <w:szCs w:val="20"/>
              </w:rPr>
              <w:t>This service will allow access to an innovative new medicine for a group of p</w:t>
            </w:r>
            <w:r w:rsidR="00481952">
              <w:rPr>
                <w:rFonts w:ascii="Poppins" w:hAnsi="Poppins" w:eastAsia="Times New Roman" w:cs="Poppins"/>
                <w:bCs/>
                <w:sz w:val="20"/>
                <w:szCs w:val="20"/>
              </w:rPr>
              <w:t>eople</w:t>
            </w:r>
            <w:r w:rsidRPr="00B146B6">
              <w:rPr>
                <w:rFonts w:ascii="Poppins" w:hAnsi="Poppins" w:eastAsia="Times New Roman" w:cs="Poppins"/>
                <w:bCs/>
                <w:sz w:val="20"/>
                <w:szCs w:val="20"/>
              </w:rPr>
              <w:t xml:space="preserve">, primarily children and young people, for whom there has been no previous treatment to delay progression of a lifelong condition. </w:t>
            </w:r>
            <w:r w:rsidR="0053594C">
              <w:rPr>
                <w:rFonts w:ascii="Poppins" w:hAnsi="Poppins" w:eastAsia="Times New Roman" w:cs="Poppins"/>
                <w:bCs/>
                <w:sz w:val="20"/>
                <w:szCs w:val="20"/>
              </w:rPr>
              <w:t>C</w:t>
            </w:r>
            <w:r w:rsidRPr="00B146B6">
              <w:rPr>
                <w:rFonts w:ascii="Poppins" w:hAnsi="Poppins" w:eastAsia="Times New Roman" w:cs="Poppins"/>
                <w:bCs/>
                <w:sz w:val="20"/>
                <w:szCs w:val="20"/>
              </w:rPr>
              <w:t xml:space="preserve">ommissioning this service </w:t>
            </w:r>
            <w:r w:rsidR="0053594C">
              <w:rPr>
                <w:rFonts w:ascii="Poppins" w:hAnsi="Poppins" w:eastAsia="Times New Roman" w:cs="Poppins"/>
                <w:bCs/>
                <w:sz w:val="20"/>
                <w:szCs w:val="20"/>
              </w:rPr>
              <w:t>aligns to</w:t>
            </w:r>
            <w:r w:rsidRPr="00B146B6">
              <w:rPr>
                <w:rFonts w:ascii="Poppins" w:hAnsi="Poppins" w:eastAsia="Times New Roman" w:cs="Poppins"/>
                <w:bCs/>
                <w:sz w:val="20"/>
                <w:szCs w:val="20"/>
              </w:rPr>
              <w:t xml:space="preserve"> the ICS’ </w:t>
            </w:r>
            <w:r w:rsidR="0053594C">
              <w:rPr>
                <w:rFonts w:ascii="Poppins" w:hAnsi="Poppins" w:eastAsia="Times New Roman" w:cs="Poppins"/>
                <w:bCs/>
                <w:sz w:val="20"/>
                <w:szCs w:val="20"/>
              </w:rPr>
              <w:t>vision to</w:t>
            </w:r>
            <w:r w:rsidRPr="00B146B6">
              <w:rPr>
                <w:rFonts w:ascii="Poppins" w:hAnsi="Poppins" w:eastAsia="Times New Roman" w:cs="Poppins"/>
                <w:bCs/>
                <w:sz w:val="20"/>
                <w:szCs w:val="20"/>
              </w:rPr>
              <w:t xml:space="preserve"> be an innovator in healthcare delivery for its population and of supporting the future of its children and young people</w:t>
            </w:r>
          </w:p>
        </w:tc>
      </w:tr>
    </w:tbl>
    <w:p w:rsidR="00B146B6" w:rsidP="001B36EE" w:rsidRDefault="00B146B6" w14:paraId="55EF82E9" w14:textId="77777777">
      <w:pPr>
        <w:spacing w:line="240" w:lineRule="auto"/>
      </w:pPr>
    </w:p>
    <w:tbl>
      <w:tblPr>
        <w:tblStyle w:val="TableGrid"/>
        <w:tblW w:w="8772" w:type="dxa"/>
        <w:tblInd w:w="-142" w:type="dxa"/>
        <w:tblBorders>
          <w:top w:val="single" w:color="0023C8" w:sz="4" w:space="0"/>
          <w:left w:val="single" w:color="0023C8" w:sz="4" w:space="0"/>
          <w:bottom w:val="single" w:color="0023C8" w:sz="4" w:space="0"/>
          <w:right w:val="single" w:color="0023C8" w:sz="4" w:space="0"/>
          <w:insideH w:val="none" w:color="auto" w:sz="0" w:space="0"/>
          <w:insideV w:val="none" w:color="auto" w:sz="0" w:space="0"/>
        </w:tblBorders>
        <w:shd w:val="clear" w:color="auto" w:fill="C8CDDC"/>
        <w:tblCellMar>
          <w:top w:w="227" w:type="dxa"/>
          <w:left w:w="284" w:type="dxa"/>
          <w:bottom w:w="227" w:type="dxa"/>
          <w:right w:w="284" w:type="dxa"/>
        </w:tblCellMar>
        <w:tblLook w:val="04A0" w:firstRow="1" w:lastRow="0" w:firstColumn="1" w:lastColumn="0" w:noHBand="0" w:noVBand="1"/>
      </w:tblPr>
      <w:tblGrid>
        <w:gridCol w:w="8772"/>
      </w:tblGrid>
      <w:tr w:rsidRPr="00C43185" w:rsidR="007F1AAD" w:rsidTr="00B16CC5" w14:paraId="31F2A573" w14:textId="77777777">
        <w:tc>
          <w:tcPr>
            <w:tcW w:w="8772" w:type="dxa"/>
          </w:tcPr>
          <w:p w:rsidRPr="006456C5" w:rsidR="003C5247" w:rsidP="001B36EE" w:rsidRDefault="003C5247" w14:paraId="27F3B19D" w14:textId="69552B2F">
            <w:pPr>
              <w:pStyle w:val="Heading2"/>
              <w:spacing w:before="0" w:after="60"/>
              <w:rPr>
                <w:rFonts w:ascii="Poppins" w:hAnsi="Poppins" w:cs="Poppins"/>
                <w:color w:val="0023C8"/>
              </w:rPr>
            </w:pPr>
            <w:bookmarkStart w:name="_Toc229391529" w:id="6"/>
            <w:r w:rsidRPr="006456C5">
              <w:rPr>
                <w:rFonts w:ascii="Poppins" w:hAnsi="Poppins" w:cs="Poppins"/>
                <w:color w:val="0023C8"/>
              </w:rPr>
              <w:t xml:space="preserve">2.3 Objectives </w:t>
            </w:r>
            <w:r w:rsidRPr="006456C5" w:rsidR="007A03B1">
              <w:rPr>
                <w:rFonts w:ascii="Poppins" w:hAnsi="Poppins" w:cs="Poppins"/>
                <w:color w:val="0023C8"/>
              </w:rPr>
              <w:t>and</w:t>
            </w:r>
            <w:r w:rsidRPr="006456C5">
              <w:rPr>
                <w:rFonts w:ascii="Poppins" w:hAnsi="Poppins" w:cs="Poppins"/>
                <w:color w:val="0023C8"/>
              </w:rPr>
              <w:t xml:space="preserve"> scope</w:t>
            </w:r>
            <w:bookmarkEnd w:id="6"/>
          </w:p>
          <w:p w:rsidRPr="006456C5" w:rsidR="003473BB" w:rsidP="001B36EE" w:rsidRDefault="003473BB" w14:paraId="6690F082" w14:textId="72DB40F2">
            <w:pPr>
              <w:spacing w:after="60"/>
              <w:rPr>
                <w:rFonts w:ascii="Poppins" w:hAnsi="Poppins" w:cs="Poppins"/>
                <w:sz w:val="20"/>
                <w:szCs w:val="20"/>
              </w:rPr>
            </w:pPr>
            <w:r w:rsidRPr="006456C5">
              <w:rPr>
                <w:rFonts w:ascii="Poppins" w:hAnsi="Poppins" w:cs="Poppins"/>
                <w:sz w:val="20"/>
                <w:szCs w:val="20"/>
              </w:rPr>
              <w:t>The following table outlines the objectives of the proposed service development.</w:t>
            </w:r>
          </w:p>
          <w:p w:rsidRPr="006456C5" w:rsidR="002A2B7B" w:rsidP="001B36EE" w:rsidRDefault="003C5247" w14:paraId="019A22DD" w14:textId="2F3B84DE">
            <w:pPr>
              <w:spacing w:after="6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&lt;Insert your local objectives from delivery of the service Trust/ICS. For each objective</w:t>
            </w:r>
            <w:r w:rsidRPr="006456C5" w:rsidR="002A2B7B">
              <w:rPr>
                <w:rFonts w:ascii="Poppins" w:hAnsi="Poppins" w:eastAsia="Calibri" w:cs="Poppins"/>
                <w:color w:val="A6A6A6" w:themeColor="background1" w:themeShade="A6"/>
                <w:sz w:val="20"/>
                <w:szCs w:val="20"/>
              </w:rPr>
              <w:t xml:space="preserve"> state metric/</w:t>
            </w:r>
            <w:r w:rsidR="003235B0">
              <w:rPr>
                <w:rFonts w:ascii="Poppins" w:hAnsi="Poppins" w:eastAsia="Calibri" w:cs="Poppins"/>
                <w:color w:val="A6A6A6" w:themeColor="background1" w:themeShade="A6"/>
                <w:sz w:val="20"/>
                <w:szCs w:val="20"/>
              </w:rPr>
              <w:t>key performance indicator/s (</w:t>
            </w:r>
            <w:r w:rsidRPr="006456C5" w:rsidR="002A2B7B">
              <w:rPr>
                <w:rFonts w:ascii="Poppins" w:hAnsi="Poppins" w:eastAsia="Calibri" w:cs="Poppins"/>
                <w:color w:val="A6A6A6" w:themeColor="background1" w:themeShade="A6"/>
                <w:sz w:val="20"/>
                <w:szCs w:val="20"/>
              </w:rPr>
              <w:t>KPI</w:t>
            </w:r>
            <w:r w:rsidR="003235B0">
              <w:rPr>
                <w:rFonts w:ascii="Poppins" w:hAnsi="Poppins" w:eastAsia="Calibri" w:cs="Poppins"/>
                <w:color w:val="A6A6A6" w:themeColor="background1" w:themeShade="A6"/>
                <w:sz w:val="20"/>
                <w:szCs w:val="20"/>
              </w:rPr>
              <w:t>)</w:t>
            </w:r>
            <w:r w:rsidRPr="006456C5" w:rsidR="002A2B7B">
              <w:rPr>
                <w:rFonts w:ascii="Poppins" w:hAnsi="Poppins" w:eastAsia="Calibri" w:cs="Poppins"/>
                <w:color w:val="A6A6A6" w:themeColor="background1" w:themeShade="A6"/>
                <w:sz w:val="20"/>
                <w:szCs w:val="20"/>
              </w:rPr>
              <w:t xml:space="preserve"> that will be used to measure if the objective has been achieved, the target you wish to achieve, e.g., % improvement or reduction, your current baseline achievement for this and the source of the figures you have used.</w:t>
            </w:r>
          </w:p>
          <w:p w:rsidRPr="006456C5" w:rsidR="00F20238" w:rsidP="001B36EE" w:rsidRDefault="00876247" w14:paraId="178CFC4C" w14:textId="6499E3B8">
            <w:pPr>
              <w:spacing w:after="6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Benefits</w:t>
            </w:r>
            <w:r w:rsidRPr="006456C5" w:rsidR="00ED12DC">
              <w:rPr>
                <w:rFonts w:ascii="Poppins" w:hAnsi="Poppins" w:eastAsia="Calibri" w:cs="Poppins"/>
                <w:color w:val="A6A6A6" w:themeColor="background1" w:themeShade="A6"/>
                <w:sz w:val="20"/>
                <w:szCs w:val="20"/>
              </w:rPr>
              <w:t xml:space="preserve"> may include</w:t>
            </w:r>
            <w:r w:rsidR="00700EBB">
              <w:rPr>
                <w:rFonts w:ascii="Poppins" w:hAnsi="Poppins" w:eastAsia="Calibri" w:cs="Poppins"/>
                <w:color w:val="A6A6A6" w:themeColor="background1" w:themeShade="A6"/>
                <w:sz w:val="20"/>
                <w:szCs w:val="20"/>
              </w:rPr>
              <w:t xml:space="preserve"> (see Section 2.2 Case for Change)</w:t>
            </w:r>
            <w:r w:rsidRPr="006456C5" w:rsidR="00F20238">
              <w:rPr>
                <w:rFonts w:ascii="Poppins" w:hAnsi="Poppins" w:eastAsia="Calibri" w:cs="Poppins"/>
                <w:color w:val="A6A6A6" w:themeColor="background1" w:themeShade="A6"/>
                <w:sz w:val="20"/>
                <w:szCs w:val="20"/>
              </w:rPr>
              <w:t>:</w:t>
            </w:r>
          </w:p>
          <w:p w:rsidRPr="006456C5" w:rsidR="00F20238" w:rsidP="001B36EE" w:rsidRDefault="00ED12DC" w14:paraId="5264C395" w14:textId="685336CB">
            <w:pPr>
              <w:pStyle w:val="ListParagraph"/>
              <w:numPr>
                <w:ilvl w:val="0"/>
                <w:numId w:val="38"/>
              </w:numPr>
              <w:spacing w:after="60"/>
              <w:ind w:left="360"/>
              <w:contextualSpacing w:val="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clinical outcomes</w:t>
            </w:r>
            <w:r w:rsidRPr="006456C5" w:rsidR="00F20238">
              <w:rPr>
                <w:rFonts w:ascii="Poppins" w:hAnsi="Poppins" w:eastAsia="Calibri" w:cs="Poppins"/>
                <w:color w:val="A6A6A6" w:themeColor="background1" w:themeShade="A6"/>
                <w:sz w:val="20"/>
                <w:szCs w:val="20"/>
              </w:rPr>
              <w:t xml:space="preserve"> e.g., time to progression to Stage 3 T1D</w:t>
            </w:r>
            <w:r w:rsidRPr="006456C5" w:rsidR="00BB5101">
              <w:rPr>
                <w:rFonts w:ascii="Poppins" w:hAnsi="Poppins" w:eastAsia="Calibri" w:cs="Poppins"/>
                <w:color w:val="A6A6A6" w:themeColor="background1" w:themeShade="A6"/>
                <w:sz w:val="20"/>
                <w:szCs w:val="20"/>
              </w:rPr>
              <w:t xml:space="preserve"> compared to presymptomatic patients not receiving teplizumab</w:t>
            </w:r>
          </w:p>
          <w:p w:rsidRPr="006456C5" w:rsidR="00F20238" w:rsidP="001B36EE" w:rsidRDefault="00ED12DC" w14:paraId="5D220093" w14:textId="1E59996A">
            <w:pPr>
              <w:pStyle w:val="ListParagraph"/>
              <w:numPr>
                <w:ilvl w:val="0"/>
                <w:numId w:val="38"/>
              </w:numPr>
              <w:spacing w:after="60"/>
              <w:ind w:left="360"/>
              <w:contextualSpacing w:val="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patient experience</w:t>
            </w:r>
            <w:r w:rsidRPr="006456C5" w:rsidR="00BD5413">
              <w:rPr>
                <w:rFonts w:ascii="Poppins" w:hAnsi="Poppins" w:eastAsia="Calibri" w:cs="Poppins"/>
                <w:color w:val="A6A6A6" w:themeColor="background1" w:themeShade="A6"/>
                <w:sz w:val="20"/>
                <w:szCs w:val="20"/>
              </w:rPr>
              <w:t xml:space="preserve"> </w:t>
            </w:r>
            <w:r w:rsidRPr="006456C5" w:rsidR="00BB5101">
              <w:rPr>
                <w:rFonts w:ascii="Poppins" w:hAnsi="Poppins" w:eastAsia="Calibri" w:cs="Poppins"/>
                <w:color w:val="A6A6A6" w:themeColor="background1" w:themeShade="A6"/>
                <w:sz w:val="20"/>
                <w:szCs w:val="20"/>
              </w:rPr>
              <w:t>based on local data collection tool</w:t>
            </w:r>
          </w:p>
          <w:p w:rsidRPr="006456C5" w:rsidR="00F20238" w:rsidP="001B36EE" w:rsidRDefault="00ED12DC" w14:paraId="12DA982A" w14:textId="6E5F3300">
            <w:pPr>
              <w:pStyle w:val="ListParagraph"/>
              <w:numPr>
                <w:ilvl w:val="0"/>
                <w:numId w:val="38"/>
              </w:numPr>
              <w:spacing w:after="60"/>
              <w:ind w:left="360"/>
              <w:contextualSpacing w:val="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 xml:space="preserve">financial savings </w:t>
            </w:r>
            <w:r w:rsidRPr="006456C5" w:rsidR="00F20238">
              <w:rPr>
                <w:rFonts w:ascii="Poppins" w:hAnsi="Poppins" w:eastAsia="Calibri" w:cs="Poppins"/>
                <w:color w:val="A6A6A6" w:themeColor="background1" w:themeShade="A6"/>
                <w:sz w:val="20"/>
                <w:szCs w:val="20"/>
              </w:rPr>
              <w:t xml:space="preserve">e.g., </w:t>
            </w:r>
            <w:r w:rsidRPr="006456C5" w:rsidR="00BB5101">
              <w:rPr>
                <w:rFonts w:ascii="Poppins" w:hAnsi="Poppins" w:eastAsia="Calibri" w:cs="Poppins"/>
                <w:color w:val="A6A6A6" w:themeColor="background1" w:themeShade="A6"/>
                <w:sz w:val="20"/>
                <w:szCs w:val="20"/>
              </w:rPr>
              <w:t>compared to insulin and monitoring costs in patients progressing to Stage 3 T1D within 2 years who have not received teplizumab</w:t>
            </w:r>
          </w:p>
          <w:p w:rsidRPr="006456C5" w:rsidR="007F1AAD" w:rsidP="001B36EE" w:rsidRDefault="00ED12DC" w14:paraId="76A9F739" w14:textId="0E7F13D9">
            <w:pPr>
              <w:pStyle w:val="ListParagraph"/>
              <w:numPr>
                <w:ilvl w:val="0"/>
                <w:numId w:val="38"/>
              </w:numPr>
              <w:spacing w:after="240"/>
              <w:ind w:left="357" w:hanging="357"/>
              <w:contextualSpacing w:val="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impact on service capacity</w:t>
            </w:r>
            <w:r w:rsidRPr="006456C5" w:rsidR="00BD5413">
              <w:rPr>
                <w:rFonts w:ascii="Poppins" w:hAnsi="Poppins" w:eastAsia="Calibri" w:cs="Poppins"/>
                <w:color w:val="A6A6A6" w:themeColor="background1" w:themeShade="A6"/>
                <w:sz w:val="20"/>
                <w:szCs w:val="20"/>
              </w:rPr>
              <w:t xml:space="preserve"> </w:t>
            </w:r>
            <w:r w:rsidRPr="006456C5" w:rsidR="00BB5101">
              <w:rPr>
                <w:rFonts w:ascii="Poppins" w:hAnsi="Poppins" w:eastAsia="Calibri" w:cs="Poppins"/>
                <w:color w:val="A6A6A6" w:themeColor="background1" w:themeShade="A6"/>
                <w:sz w:val="20"/>
                <w:szCs w:val="20"/>
              </w:rPr>
              <w:t>e.g., clinic appointments saved compared to average for presymptomatic patients not receiving teplizumab</w:t>
            </w:r>
          </w:p>
          <w:tbl>
            <w:tblPr>
              <w:tblStyle w:val="LightList-Accent1"/>
              <w:tblW w:w="0" w:type="auto"/>
              <w:jc w:val="center"/>
              <w:tblBorders>
                <w:top w:val="none" w:color="auto" w:sz="0" w:space="0"/>
                <w:left w:val="none" w:color="auto" w:sz="0" w:space="0"/>
                <w:bottom w:val="none" w:color="auto" w:sz="0" w:space="0"/>
                <w:right w:val="none" w:color="auto" w:sz="0" w:space="0"/>
                <w:insideH w:val="single" w:color="FFFFFF" w:sz="4" w:space="0"/>
              </w:tblBorders>
              <w:tblLook w:val="04A0" w:firstRow="1" w:lastRow="0" w:firstColumn="1" w:lastColumn="0" w:noHBand="0" w:noVBand="1"/>
            </w:tblPr>
            <w:tblGrid>
              <w:gridCol w:w="1661"/>
              <w:gridCol w:w="1676"/>
              <w:gridCol w:w="1609"/>
              <w:gridCol w:w="1643"/>
              <w:gridCol w:w="1615"/>
            </w:tblGrid>
            <w:tr w:rsidRPr="00C43185" w:rsidR="002A2B7B" w:rsidTr="00F4711F" w14:paraId="3C9B447E" w14:textId="77777777">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728" w:type="dxa"/>
                  <w:tcBorders>
                    <w:top w:val="nil"/>
                    <w:bottom w:val="single" w:color="FFFFFF" w:themeColor="background1" w:sz="18" w:space="0"/>
                  </w:tcBorders>
                  <w:shd w:val="clear" w:color="auto" w:fill="0096FF"/>
                  <w:vAlign w:val="center"/>
                </w:tcPr>
                <w:p w:rsidRPr="00C43185" w:rsidR="002A2B7B" w:rsidP="001B36EE" w:rsidRDefault="002A2B7B" w14:paraId="509ACCC9" w14:textId="77777777">
                  <w:pPr>
                    <w:spacing w:after="60"/>
                    <w:jc w:val="center"/>
                    <w:rPr>
                      <w:rFonts w:ascii="Poppins" w:hAnsi="Poppins" w:cs="Poppins"/>
                    </w:rPr>
                  </w:pPr>
                  <w:r w:rsidRPr="00C43185">
                    <w:rPr>
                      <w:rFonts w:ascii="Poppins" w:hAnsi="Poppins" w:cs="Poppins"/>
                    </w:rPr>
                    <w:t>Objective</w:t>
                  </w:r>
                </w:p>
              </w:tc>
              <w:tc>
                <w:tcPr>
                  <w:tcW w:w="1728" w:type="dxa"/>
                  <w:tcBorders>
                    <w:top w:val="nil"/>
                    <w:bottom w:val="single" w:color="FFFFFF" w:themeColor="background1" w:sz="18" w:space="0"/>
                  </w:tcBorders>
                  <w:shd w:val="clear" w:color="auto" w:fill="0096FF"/>
                  <w:vAlign w:val="center"/>
                </w:tcPr>
                <w:p w:rsidRPr="00C43185" w:rsidR="002A2B7B" w:rsidP="001B36EE" w:rsidRDefault="002A2B7B" w14:paraId="5DAF1F0C"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Metric/KPI</w:t>
                  </w:r>
                </w:p>
              </w:tc>
              <w:tc>
                <w:tcPr>
                  <w:tcW w:w="1728" w:type="dxa"/>
                  <w:tcBorders>
                    <w:top w:val="nil"/>
                    <w:bottom w:val="single" w:color="FFFFFF" w:themeColor="background1" w:sz="18" w:space="0"/>
                  </w:tcBorders>
                  <w:shd w:val="clear" w:color="auto" w:fill="0096FF"/>
                  <w:vAlign w:val="center"/>
                </w:tcPr>
                <w:p w:rsidRPr="00C43185" w:rsidR="002A2B7B" w:rsidP="001B36EE" w:rsidRDefault="002A2B7B" w14:paraId="2246FC02"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Target</w:t>
                  </w:r>
                </w:p>
              </w:tc>
              <w:tc>
                <w:tcPr>
                  <w:tcW w:w="1728" w:type="dxa"/>
                  <w:tcBorders>
                    <w:top w:val="nil"/>
                    <w:bottom w:val="single" w:color="FFFFFF" w:themeColor="background1" w:sz="18" w:space="0"/>
                  </w:tcBorders>
                  <w:shd w:val="clear" w:color="auto" w:fill="0096FF"/>
                  <w:vAlign w:val="center"/>
                </w:tcPr>
                <w:p w:rsidRPr="00C43185" w:rsidR="002A2B7B" w:rsidP="001B36EE" w:rsidRDefault="002A2B7B" w14:paraId="183E9ABE"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Baseline</w:t>
                  </w:r>
                </w:p>
              </w:tc>
              <w:tc>
                <w:tcPr>
                  <w:tcW w:w="1728" w:type="dxa"/>
                  <w:tcBorders>
                    <w:top w:val="nil"/>
                    <w:bottom w:val="single" w:color="FFFFFF" w:themeColor="background1" w:sz="18" w:space="0"/>
                  </w:tcBorders>
                  <w:shd w:val="clear" w:color="auto" w:fill="0096FF"/>
                  <w:vAlign w:val="center"/>
                </w:tcPr>
                <w:p w:rsidRPr="00C43185" w:rsidR="002A2B7B" w:rsidP="001B36EE" w:rsidRDefault="002A2B7B" w14:paraId="34C31F79"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Source</w:t>
                  </w:r>
                </w:p>
              </w:tc>
            </w:tr>
            <w:tr w:rsidRPr="00C43185" w:rsidR="002A2B7B" w:rsidTr="00BC77BF" w14:paraId="7426F5E7" w14:textId="77777777">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728"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2A2B7B" w:rsidP="001B36EE" w:rsidRDefault="002A2B7B" w14:paraId="2B9F5FF4" w14:textId="77777777">
                  <w:pPr>
                    <w:spacing w:after="60"/>
                    <w:jc w:val="center"/>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tcBorders>
                  <w:shd w:val="clear" w:color="auto" w:fill="F2F2F2" w:themeFill="background1" w:themeFillShade="F2"/>
                  <w:vAlign w:val="center"/>
                </w:tcPr>
                <w:p w:rsidRPr="00C43185" w:rsidR="002A2B7B" w:rsidP="001B36EE" w:rsidRDefault="002A2B7B" w14:paraId="1C30E6BD"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tcBorders>
                  <w:shd w:val="clear" w:color="auto" w:fill="F2F2F2" w:themeFill="background1" w:themeFillShade="F2"/>
                  <w:vAlign w:val="center"/>
                </w:tcPr>
                <w:p w:rsidRPr="00C43185" w:rsidR="002A2B7B" w:rsidP="001B36EE" w:rsidRDefault="002A2B7B" w14:paraId="1B10A4FF"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tcBorders>
                  <w:shd w:val="clear" w:color="auto" w:fill="F2F2F2" w:themeFill="background1" w:themeFillShade="F2"/>
                  <w:vAlign w:val="center"/>
                </w:tcPr>
                <w:p w:rsidRPr="00C43185" w:rsidR="002A2B7B" w:rsidP="001B36EE" w:rsidRDefault="002A2B7B" w14:paraId="68969749"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2A2B7B" w:rsidP="001B36EE" w:rsidRDefault="002A2B7B" w14:paraId="7436C4C0"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C43185" w:rsidR="00F4106E" w:rsidP="001B36EE" w:rsidRDefault="00F4106E" w14:paraId="47B8FCBB" w14:textId="77777777">
            <w:pPr>
              <w:spacing w:after="60"/>
              <w:rPr>
                <w:rFonts w:ascii="Poppins" w:hAnsi="Poppins" w:cs="Poppins"/>
              </w:rPr>
            </w:pPr>
          </w:p>
          <w:p w:rsidRPr="006456C5" w:rsidR="00A363EE" w:rsidP="001B36EE" w:rsidRDefault="00A363EE" w14:paraId="1E327D62" w14:textId="63CEB067">
            <w:pPr>
              <w:pStyle w:val="Heading2"/>
              <w:spacing w:before="0" w:after="60"/>
              <w:rPr>
                <w:rFonts w:ascii="Poppins" w:hAnsi="Poppins" w:cs="Poppins"/>
                <w:color w:val="0023C8"/>
              </w:rPr>
            </w:pPr>
            <w:bookmarkStart w:name="_Toc229391530" w:id="7"/>
            <w:r w:rsidRPr="006456C5">
              <w:rPr>
                <w:rFonts w:ascii="Poppins" w:hAnsi="Poppins" w:cs="Poppins"/>
                <w:color w:val="0023C8"/>
              </w:rPr>
              <w:t>2.4 Stakeholders</w:t>
            </w:r>
            <w:bookmarkEnd w:id="7"/>
          </w:p>
          <w:p w:rsidRPr="006456C5" w:rsidR="003473BB" w:rsidP="001B36EE" w:rsidRDefault="003473BB" w14:paraId="16FE9576" w14:textId="45A2AD45">
            <w:pPr>
              <w:spacing w:after="60"/>
              <w:rPr>
                <w:rFonts w:ascii="Poppins" w:hAnsi="Poppins" w:cs="Poppins"/>
                <w:sz w:val="20"/>
                <w:szCs w:val="20"/>
              </w:rPr>
            </w:pPr>
            <w:r w:rsidRPr="006456C5">
              <w:rPr>
                <w:rFonts w:ascii="Poppins" w:hAnsi="Poppins" w:cs="Poppins"/>
                <w:sz w:val="20"/>
                <w:szCs w:val="20"/>
              </w:rPr>
              <w:t xml:space="preserve">The following table lists the stakeholders </w:t>
            </w:r>
            <w:r w:rsidR="001D0528">
              <w:rPr>
                <w:rFonts w:ascii="Poppins" w:hAnsi="Poppins" w:cs="Poppins"/>
                <w:sz w:val="20"/>
                <w:szCs w:val="20"/>
              </w:rPr>
              <w:t>suggested</w:t>
            </w:r>
            <w:r w:rsidRPr="006456C5">
              <w:rPr>
                <w:rFonts w:ascii="Poppins" w:hAnsi="Poppins" w:cs="Poppins"/>
                <w:sz w:val="20"/>
                <w:szCs w:val="20"/>
              </w:rPr>
              <w:t xml:space="preserve"> for the proposed service development. It states whether they will be responsible for carrying out roles (R), have overall accountability for the service (A), be consulted (C) or informed (I) about it.</w:t>
            </w:r>
          </w:p>
          <w:p w:rsidR="007F1AAD" w:rsidP="001B36EE" w:rsidRDefault="00A363EE" w14:paraId="1BCE6926" w14:textId="26DE0C04">
            <w:pPr>
              <w:spacing w:after="60"/>
              <w:rPr>
                <w:rFonts w:ascii="Poppins" w:hAnsi="Poppins" w:eastAsia="Calibri" w:cs="Poppins"/>
                <w:color w:val="A6A6A6" w:themeColor="background1" w:themeShade="A6"/>
                <w:sz w:val="20"/>
                <w:szCs w:val="20"/>
              </w:rPr>
            </w:pPr>
            <w:r w:rsidRPr="006456C5">
              <w:rPr>
                <w:rFonts w:ascii="Poppins" w:hAnsi="Poppins" w:eastAsia="Calibri" w:cs="Poppins"/>
                <w:color w:val="A6A6A6" w:themeColor="background1" w:themeShade="A6"/>
                <w:sz w:val="20"/>
                <w:szCs w:val="20"/>
              </w:rPr>
              <w:t>&lt;Insert key MDT members plus other stakeholders who you wish to consult</w:t>
            </w:r>
            <w:r w:rsidRPr="006456C5" w:rsidR="008C6F7C">
              <w:rPr>
                <w:rFonts w:ascii="Poppins" w:hAnsi="Poppins" w:eastAsia="Calibri" w:cs="Poppins"/>
                <w:color w:val="A6A6A6" w:themeColor="background1" w:themeShade="A6"/>
                <w:sz w:val="20"/>
                <w:szCs w:val="20"/>
              </w:rPr>
              <w:t xml:space="preserve"> with</w:t>
            </w:r>
            <w:r w:rsidRPr="006456C5">
              <w:rPr>
                <w:rFonts w:ascii="Poppins" w:hAnsi="Poppins" w:eastAsia="Calibri" w:cs="Poppins"/>
                <w:color w:val="A6A6A6" w:themeColor="background1" w:themeShade="A6"/>
                <w:sz w:val="20"/>
                <w:szCs w:val="20"/>
              </w:rPr>
              <w:t xml:space="preserve"> or inform about the proposed service</w:t>
            </w:r>
            <w:r w:rsidRPr="006456C5" w:rsidR="008C6F7C">
              <w:rPr>
                <w:rFonts w:ascii="Poppins" w:hAnsi="Poppins" w:eastAsia="Calibri" w:cs="Poppins"/>
                <w:color w:val="A6A6A6" w:themeColor="background1" w:themeShade="A6"/>
                <w:sz w:val="20"/>
                <w:szCs w:val="20"/>
              </w:rPr>
              <w:t xml:space="preserve"> development</w:t>
            </w:r>
            <w:r w:rsidRPr="006456C5">
              <w:rPr>
                <w:rFonts w:ascii="Poppins" w:hAnsi="Poppins" w:eastAsia="Calibri" w:cs="Poppins"/>
                <w:color w:val="A6A6A6" w:themeColor="background1" w:themeShade="A6"/>
                <w:sz w:val="20"/>
                <w:szCs w:val="20"/>
              </w:rPr>
              <w:t xml:space="preserve">. Include their individual roles or interests in this service and how you propose to engage with them. RACI stands for Responsible, Accountable, Consulted, Informed. Use this column to state which of these fits with their role in the service (see </w:t>
            </w:r>
            <w:hyperlink w:history="1" w:anchor="_Appendix_1._RACI">
              <w:r w:rsidRPr="003974BA">
                <w:rPr>
                  <w:rStyle w:val="Hyperlink"/>
                  <w:rFonts w:ascii="Poppins" w:hAnsi="Poppins" w:eastAsia="Calibri" w:cs="Poppins"/>
                  <w:sz w:val="20"/>
                  <w:szCs w:val="20"/>
                </w:rPr>
                <w:t>Appendix 1</w:t>
              </w:r>
            </w:hyperlink>
            <w:r w:rsidRPr="006456C5">
              <w:rPr>
                <w:rFonts w:ascii="Poppins" w:hAnsi="Poppins" w:eastAsia="Calibri" w:cs="Poppins"/>
                <w:color w:val="A6A6A6" w:themeColor="background1" w:themeShade="A6"/>
                <w:sz w:val="20"/>
                <w:szCs w:val="20"/>
              </w:rPr>
              <w:t xml:space="preserve"> for further information)</w:t>
            </w:r>
            <w:r w:rsidR="001B36EE">
              <w:rPr>
                <w:rFonts w:ascii="Poppins" w:hAnsi="Poppins" w:eastAsia="Calibri" w:cs="Poppins"/>
                <w:color w:val="A6A6A6" w:themeColor="background1" w:themeShade="A6"/>
                <w:sz w:val="20"/>
                <w:szCs w:val="20"/>
              </w:rPr>
              <w:t>&gt;</w:t>
            </w:r>
          </w:p>
          <w:p w:rsidRPr="006456C5" w:rsidR="001B36EE" w:rsidP="001B36EE" w:rsidRDefault="001B36EE" w14:paraId="33AEEAC6" w14:textId="77777777">
            <w:pPr>
              <w:spacing w:after="60"/>
              <w:rPr>
                <w:rFonts w:ascii="Poppins" w:hAnsi="Poppins" w:eastAsia="Times New Roman" w:cs="Poppins"/>
                <w:b/>
                <w:i/>
                <w:iCs/>
                <w:sz w:val="20"/>
                <w:szCs w:val="20"/>
              </w:rPr>
            </w:pPr>
          </w:p>
          <w:tbl>
            <w:tblPr>
              <w:tblStyle w:val="LightList-Accent1"/>
              <w:tblW w:w="0" w:type="auto"/>
              <w:jc w:val="center"/>
              <w:tblBorders>
                <w:top w:val="none" w:color="auto" w:sz="0" w:space="0"/>
                <w:left w:val="none" w:color="auto" w:sz="0" w:space="0"/>
                <w:bottom w:val="none" w:color="auto" w:sz="0" w:space="0"/>
                <w:right w:val="none" w:color="auto" w:sz="0" w:space="0"/>
                <w:insideH w:val="single" w:color="FFFFFF" w:sz="4" w:space="0"/>
              </w:tblBorders>
              <w:tblLook w:val="04A0" w:firstRow="1" w:lastRow="0" w:firstColumn="1" w:lastColumn="0" w:noHBand="0" w:noVBand="1"/>
            </w:tblPr>
            <w:tblGrid>
              <w:gridCol w:w="2075"/>
              <w:gridCol w:w="2088"/>
              <w:gridCol w:w="2087"/>
              <w:gridCol w:w="1954"/>
            </w:tblGrid>
            <w:tr w:rsidRPr="00C43185" w:rsidR="00A363EE" w:rsidTr="00F4711F" w14:paraId="3686DC8C" w14:textId="77777777">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2160" w:type="dxa"/>
                  <w:tcBorders>
                    <w:top w:val="nil"/>
                    <w:bottom w:val="single" w:color="FFFFFF" w:themeColor="background1" w:sz="18" w:space="0"/>
                  </w:tcBorders>
                  <w:shd w:val="clear" w:color="auto" w:fill="0096FF"/>
                  <w:vAlign w:val="center"/>
                </w:tcPr>
                <w:p w:rsidRPr="00C43185" w:rsidR="00A363EE" w:rsidP="001B36EE" w:rsidRDefault="00A363EE" w14:paraId="1ED1F9FB" w14:textId="77777777">
                  <w:pPr>
                    <w:spacing w:after="60"/>
                    <w:jc w:val="center"/>
                    <w:rPr>
                      <w:rFonts w:ascii="Poppins" w:hAnsi="Poppins" w:cs="Poppins"/>
                    </w:rPr>
                  </w:pPr>
                  <w:r w:rsidRPr="00C43185">
                    <w:rPr>
                      <w:rFonts w:ascii="Poppins" w:hAnsi="Poppins" w:cs="Poppins"/>
                    </w:rPr>
                    <w:t>Stakeholder</w:t>
                  </w:r>
                </w:p>
              </w:tc>
              <w:tc>
                <w:tcPr>
                  <w:tcW w:w="2160" w:type="dxa"/>
                  <w:tcBorders>
                    <w:top w:val="nil"/>
                    <w:bottom w:val="single" w:color="FFFFFF" w:themeColor="background1" w:sz="18" w:space="0"/>
                  </w:tcBorders>
                  <w:shd w:val="clear" w:color="auto" w:fill="0096FF"/>
                  <w:vAlign w:val="center"/>
                </w:tcPr>
                <w:p w:rsidRPr="00C43185" w:rsidR="00A363EE" w:rsidP="001B36EE" w:rsidRDefault="00A363EE" w14:paraId="786FDC22"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Role/Interest</w:t>
                  </w:r>
                </w:p>
              </w:tc>
              <w:tc>
                <w:tcPr>
                  <w:tcW w:w="2160" w:type="dxa"/>
                  <w:tcBorders>
                    <w:top w:val="nil"/>
                    <w:bottom w:val="single" w:color="FFFFFF" w:themeColor="background1" w:sz="18" w:space="0"/>
                  </w:tcBorders>
                  <w:shd w:val="clear" w:color="auto" w:fill="0096FF"/>
                  <w:vAlign w:val="center"/>
                </w:tcPr>
                <w:p w:rsidRPr="00C43185" w:rsidR="00A363EE" w:rsidP="001B36EE" w:rsidRDefault="00A363EE" w14:paraId="765D0F44"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Engagement approach</w:t>
                  </w:r>
                </w:p>
              </w:tc>
              <w:tc>
                <w:tcPr>
                  <w:tcW w:w="2160" w:type="dxa"/>
                  <w:tcBorders>
                    <w:top w:val="nil"/>
                    <w:bottom w:val="single" w:color="FFFFFF" w:themeColor="background1" w:sz="18" w:space="0"/>
                  </w:tcBorders>
                  <w:shd w:val="clear" w:color="auto" w:fill="0096FF"/>
                  <w:vAlign w:val="center"/>
                </w:tcPr>
                <w:p w:rsidRPr="00C43185" w:rsidR="00A363EE" w:rsidP="001B36EE" w:rsidRDefault="00A363EE" w14:paraId="6B1F9AE9" w14:textId="77777777">
                  <w:pPr>
                    <w:spacing w:after="60"/>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RACI</w:t>
                  </w:r>
                </w:p>
              </w:tc>
            </w:tr>
            <w:tr w:rsidRPr="00C43185" w:rsidR="00A363EE" w:rsidTr="00BC77BF" w14:paraId="587870E3" w14:textId="77777777">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A363EE" w:rsidP="001B36EE" w:rsidRDefault="00A363EE" w14:paraId="6EC7C318" w14:textId="77777777">
                  <w:pPr>
                    <w:spacing w:after="60"/>
                    <w:jc w:val="center"/>
                    <w:rPr>
                      <w:rFonts w:ascii="Poppins" w:hAnsi="Poppins" w:cs="Poppins"/>
                    </w:rPr>
                  </w:pPr>
                  <w:r w:rsidRPr="00C43185">
                    <w:rPr>
                      <w:rFonts w:ascii="Poppins" w:hAnsi="Poppins" w:cs="Poppins"/>
                    </w:rPr>
                    <w:t>&lt;add text&gt;</w:t>
                  </w:r>
                </w:p>
              </w:tc>
              <w:tc>
                <w:tcPr>
                  <w:tcW w:w="2160" w:type="dxa"/>
                  <w:tcBorders>
                    <w:top w:val="single" w:color="FFFFFF" w:themeColor="background1" w:sz="18" w:space="0"/>
                    <w:bottom w:val="none" w:color="auto" w:sz="0" w:space="0"/>
                  </w:tcBorders>
                  <w:shd w:val="clear" w:color="auto" w:fill="F2F2F2" w:themeFill="background1" w:themeFillShade="F2"/>
                  <w:vAlign w:val="center"/>
                </w:tcPr>
                <w:p w:rsidRPr="00C43185" w:rsidR="00A363EE" w:rsidP="001B36EE" w:rsidRDefault="00A363EE" w14:paraId="00946091"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color="FFFFFF" w:themeColor="background1" w:sz="18" w:space="0"/>
                    <w:bottom w:val="none" w:color="auto" w:sz="0" w:space="0"/>
                  </w:tcBorders>
                  <w:shd w:val="clear" w:color="auto" w:fill="F2F2F2" w:themeFill="background1" w:themeFillShade="F2"/>
                  <w:vAlign w:val="center"/>
                </w:tcPr>
                <w:p w:rsidRPr="00C43185" w:rsidR="00A363EE" w:rsidP="001B36EE" w:rsidRDefault="00A363EE" w14:paraId="57493D11"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A363EE" w:rsidP="001B36EE" w:rsidRDefault="00A363EE" w14:paraId="2FB89D54" w14:textId="77777777">
                  <w:pPr>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C43185" w:rsidR="007F1AAD" w:rsidP="001B36EE" w:rsidRDefault="007F1AAD" w14:paraId="1AC27AED" w14:textId="77777777">
            <w:pPr>
              <w:spacing w:after="60"/>
              <w:rPr>
                <w:rFonts w:ascii="Poppins" w:hAnsi="Poppins" w:eastAsia="Times New Roman" w:cs="Poppins"/>
                <w:b/>
                <w:i/>
                <w:iCs/>
              </w:rPr>
            </w:pPr>
          </w:p>
        </w:tc>
      </w:tr>
    </w:tbl>
    <w:p w:rsidRPr="005241F1" w:rsidR="005241F1" w:rsidP="001B36EE" w:rsidRDefault="00D85956" w14:paraId="237D67A5" w14:textId="721C7EF0">
      <w:pPr>
        <w:pStyle w:val="Heading1"/>
        <w:spacing w:after="120" w:line="240" w:lineRule="auto"/>
        <w:rPr>
          <w:rFonts w:ascii="Poppins" w:hAnsi="Poppins" w:cs="Poppins"/>
          <w:color w:val="0023C8"/>
        </w:rPr>
      </w:pPr>
      <w:bookmarkStart w:name="_Toc229391531" w:id="8"/>
      <w:r w:rsidRPr="006456C5">
        <w:rPr>
          <w:rFonts w:ascii="Poppins" w:hAnsi="Poppins" w:cs="Poppins"/>
          <w:color w:val="0023C8"/>
        </w:rPr>
        <w:t>3. Economic Case</w:t>
      </w:r>
      <w:bookmarkEnd w:id="8"/>
      <w:r w:rsidRPr="006456C5">
        <w:rPr>
          <w:rFonts w:ascii="Poppins" w:hAnsi="Poppins" w:cs="Poppins"/>
          <w:color w:val="0023C8"/>
        </w:rPr>
        <w:t xml:space="preserve"> </w:t>
      </w:r>
    </w:p>
    <w:tbl>
      <w:tblPr>
        <w:tblStyle w:val="TableGrid"/>
        <w:tblW w:w="0" w:type="auto"/>
        <w:tblCellMar>
          <w:top w:w="227" w:type="dxa"/>
          <w:left w:w="284" w:type="dxa"/>
          <w:bottom w:w="227" w:type="dxa"/>
          <w:right w:w="284" w:type="dxa"/>
        </w:tblCellMar>
        <w:tblLook w:val="04A0" w:firstRow="1" w:lastRow="0" w:firstColumn="1" w:lastColumn="0" w:noHBand="0" w:noVBand="1"/>
      </w:tblPr>
      <w:tblGrid>
        <w:gridCol w:w="8630"/>
      </w:tblGrid>
      <w:tr w:rsidRPr="00C43185" w:rsidR="00D85956" w:rsidTr="00B16CC5" w14:paraId="29E17D91" w14:textId="77777777">
        <w:trPr>
          <w:trHeight w:val="5102"/>
        </w:trPr>
        <w:tc>
          <w:tcPr>
            <w:tcW w:w="8630" w:type="dxa"/>
            <w:tcBorders>
              <w:top w:val="nil"/>
              <w:left w:val="nil"/>
              <w:bottom w:val="single" w:color="0023C8" w:sz="4" w:space="0"/>
              <w:right w:val="nil"/>
            </w:tcBorders>
            <w:shd w:val="clear" w:color="auto" w:fill="E3E5ED"/>
          </w:tcPr>
          <w:p w:rsidRPr="00C43185" w:rsidR="00D85956" w:rsidP="001B36EE" w:rsidRDefault="00D85956" w14:paraId="5C5D27EB" w14:textId="2E2AE80E">
            <w:pPr>
              <w:spacing w:after="120"/>
              <w:rPr>
                <w:rFonts w:ascii="Poppins" w:hAnsi="Poppins" w:eastAsia="Times New Roman" w:cs="Poppins"/>
                <w:b/>
                <w:i/>
                <w:iCs/>
              </w:rPr>
            </w:pPr>
            <w:r w:rsidRPr="00C43185">
              <w:rPr>
                <w:rFonts w:ascii="Poppins" w:hAnsi="Poppins" w:eastAsia="Times New Roman" w:cs="Poppins"/>
                <w:b/>
                <w:i/>
                <w:iCs/>
              </w:rPr>
              <w:t>Guidance information</w:t>
            </w:r>
          </w:p>
          <w:p w:rsidRPr="00280670" w:rsidR="004A2D75" w:rsidP="001B36EE" w:rsidRDefault="00C40721" w14:paraId="75002D7E" w14:textId="00F901EF">
            <w:pPr>
              <w:pStyle w:val="ListParagraph"/>
              <w:numPr>
                <w:ilvl w:val="0"/>
                <w:numId w:val="13"/>
              </w:numPr>
              <w:spacing w:after="60"/>
              <w:ind w:left="357" w:hanging="357"/>
              <w:contextualSpacing w:val="0"/>
              <w:rPr>
                <w:rFonts w:ascii="Poppins" w:hAnsi="Poppins" w:cs="Poppins"/>
                <w:i/>
                <w:iCs/>
                <w:sz w:val="20"/>
                <w:szCs w:val="20"/>
              </w:rPr>
            </w:pPr>
            <w:r w:rsidRPr="00280670">
              <w:rPr>
                <w:rFonts w:ascii="Poppins" w:hAnsi="Poppins" w:cs="Poppins"/>
                <w:i/>
                <w:iCs/>
                <w:sz w:val="20"/>
                <w:szCs w:val="20"/>
              </w:rPr>
              <w:t xml:space="preserve">The information in this section can be used to develop a local </w:t>
            </w:r>
            <w:r w:rsidRPr="00280670" w:rsidR="004A2D75">
              <w:rPr>
                <w:rFonts w:ascii="Poppins" w:hAnsi="Poppins" w:cs="Poppins"/>
                <w:i/>
                <w:iCs/>
                <w:sz w:val="20"/>
                <w:szCs w:val="20"/>
              </w:rPr>
              <w:t xml:space="preserve">economic </w:t>
            </w:r>
            <w:r w:rsidRPr="00280670">
              <w:rPr>
                <w:rFonts w:ascii="Poppins" w:hAnsi="Poppins" w:cs="Poppins"/>
                <w:i/>
                <w:iCs/>
                <w:sz w:val="20"/>
                <w:szCs w:val="20"/>
              </w:rPr>
              <w:t>case</w:t>
            </w:r>
            <w:r w:rsidRPr="00280670" w:rsidR="004A2D75">
              <w:rPr>
                <w:rFonts w:ascii="Poppins" w:hAnsi="Poppins" w:cs="Poppins"/>
                <w:i/>
                <w:iCs/>
                <w:sz w:val="20"/>
                <w:szCs w:val="20"/>
              </w:rPr>
              <w:t xml:space="preserve"> for why the service should be commissioned</w:t>
            </w:r>
          </w:p>
          <w:p w:rsidRPr="00280670" w:rsidR="00C06E74" w:rsidP="001B36EE" w:rsidRDefault="004A2D75" w14:paraId="21BF4EA1" w14:textId="68082D28">
            <w:pPr>
              <w:pStyle w:val="ListParagraph"/>
              <w:numPr>
                <w:ilvl w:val="0"/>
                <w:numId w:val="13"/>
              </w:numPr>
              <w:spacing w:after="60"/>
              <w:ind w:left="357" w:hanging="357"/>
              <w:contextualSpacing w:val="0"/>
              <w:rPr>
                <w:rFonts w:ascii="Poppins" w:hAnsi="Poppins" w:eastAsia="Times New Roman" w:cs="Poppins"/>
                <w:b/>
                <w:i/>
                <w:iCs/>
                <w:sz w:val="20"/>
                <w:szCs w:val="20"/>
              </w:rPr>
            </w:pPr>
            <w:r w:rsidRPr="00280670">
              <w:rPr>
                <w:rFonts w:ascii="Poppins" w:hAnsi="Poppins" w:cs="Poppins"/>
                <w:i/>
                <w:iCs/>
                <w:sz w:val="20"/>
                <w:szCs w:val="20"/>
              </w:rPr>
              <w:t>It includes information on the costs of managing T1D</w:t>
            </w:r>
            <w:r w:rsidRPr="00280670" w:rsidR="002C10C6">
              <w:rPr>
                <w:rFonts w:ascii="Poppins" w:hAnsi="Poppins" w:cs="Poppins"/>
                <w:i/>
                <w:iCs/>
                <w:sz w:val="20"/>
                <w:szCs w:val="20"/>
              </w:rPr>
              <w:t>, costs of</w:t>
            </w:r>
            <w:r w:rsidRPr="00280670" w:rsidR="00C06E74">
              <w:rPr>
                <w:rFonts w:ascii="Poppins" w:hAnsi="Poppins" w:cs="Poppins"/>
                <w:i/>
                <w:iCs/>
                <w:sz w:val="20"/>
                <w:szCs w:val="20"/>
              </w:rPr>
              <w:t xml:space="preserve"> DKA</w:t>
            </w:r>
            <w:r w:rsidRPr="00280670" w:rsidR="002C10C6">
              <w:rPr>
                <w:rFonts w:ascii="Poppins" w:hAnsi="Poppins" w:cs="Poppins"/>
                <w:i/>
                <w:iCs/>
                <w:sz w:val="20"/>
                <w:szCs w:val="20"/>
              </w:rPr>
              <w:t>, and</w:t>
            </w:r>
            <w:r w:rsidRPr="00280670" w:rsidR="00C06E74">
              <w:rPr>
                <w:rFonts w:ascii="Poppins" w:hAnsi="Poppins" w:cs="Poppins"/>
                <w:i/>
                <w:iCs/>
                <w:sz w:val="20"/>
                <w:szCs w:val="20"/>
              </w:rPr>
              <w:t xml:space="preserve"> complication rates which can be localised to your population footprint </w:t>
            </w:r>
          </w:p>
          <w:p w:rsidRPr="00280670" w:rsidR="00C06E74" w:rsidP="001B36EE" w:rsidRDefault="00C06E74" w14:paraId="2E2377FF" w14:textId="7DA8745B">
            <w:pPr>
              <w:pStyle w:val="ListParagraph"/>
              <w:numPr>
                <w:ilvl w:val="0"/>
                <w:numId w:val="13"/>
              </w:numPr>
              <w:spacing w:after="60"/>
              <w:ind w:left="357" w:hanging="357"/>
              <w:contextualSpacing w:val="0"/>
              <w:rPr>
                <w:rFonts w:ascii="Poppins" w:hAnsi="Poppins" w:eastAsia="Times New Roman" w:cs="Poppins"/>
                <w:bCs/>
                <w:i/>
                <w:iCs/>
                <w:sz w:val="20"/>
                <w:szCs w:val="20"/>
              </w:rPr>
            </w:pPr>
            <w:r w:rsidRPr="00280670">
              <w:rPr>
                <w:rFonts w:ascii="Poppins" w:hAnsi="Poppins" w:eastAsia="Times New Roman" w:cs="Poppins"/>
                <w:bCs/>
                <w:i/>
                <w:iCs/>
                <w:sz w:val="20"/>
                <w:szCs w:val="20"/>
              </w:rPr>
              <w:t xml:space="preserve">Patient numbers who may be suitable to receive </w:t>
            </w:r>
            <w:r w:rsidRPr="00280670" w:rsidR="00007BC7">
              <w:rPr>
                <w:rFonts w:ascii="Poppins" w:hAnsi="Poppins" w:eastAsia="Times New Roman" w:cs="Poppins"/>
                <w:bCs/>
                <w:i/>
                <w:iCs/>
                <w:sz w:val="20"/>
                <w:szCs w:val="20"/>
              </w:rPr>
              <w:t>teplizumab</w:t>
            </w:r>
            <w:r w:rsidRPr="00280670">
              <w:rPr>
                <w:rFonts w:ascii="Poppins" w:hAnsi="Poppins" w:eastAsia="Times New Roman" w:cs="Poppins"/>
                <w:bCs/>
                <w:i/>
                <w:iCs/>
                <w:sz w:val="20"/>
                <w:szCs w:val="20"/>
              </w:rPr>
              <w:t xml:space="preserve"> in your proposed footprint should be included here, based on the numbers per 1 million population in Appendix 2</w:t>
            </w:r>
          </w:p>
          <w:p w:rsidRPr="00280670" w:rsidR="00C06E74" w:rsidP="001B36EE" w:rsidRDefault="004045DA" w14:paraId="2D1C5131" w14:textId="1FCCC96C">
            <w:pPr>
              <w:pStyle w:val="ListParagraph"/>
              <w:numPr>
                <w:ilvl w:val="0"/>
                <w:numId w:val="13"/>
              </w:numPr>
              <w:spacing w:after="60"/>
              <w:ind w:left="357" w:hanging="357"/>
              <w:contextualSpacing w:val="0"/>
              <w:rPr>
                <w:rFonts w:ascii="Poppins" w:hAnsi="Poppins" w:eastAsia="Times New Roman" w:cs="Poppins"/>
                <w:bCs/>
                <w:i/>
                <w:iCs/>
                <w:sz w:val="20"/>
                <w:szCs w:val="20"/>
              </w:rPr>
            </w:pPr>
            <w:r w:rsidRPr="00280670">
              <w:rPr>
                <w:rFonts w:ascii="Poppins" w:hAnsi="Poppins" w:eastAsia="Times New Roman" w:cs="Poppins"/>
                <w:bCs/>
                <w:i/>
                <w:iCs/>
                <w:sz w:val="20"/>
                <w:szCs w:val="20"/>
              </w:rPr>
              <w:t xml:space="preserve">A description of potential service models should be included with advantages and disadvantages for each option and </w:t>
            </w:r>
            <w:r w:rsidRPr="00280670" w:rsidR="007A03B1">
              <w:rPr>
                <w:rFonts w:ascii="Poppins" w:hAnsi="Poppins" w:eastAsia="Times New Roman" w:cs="Poppins"/>
                <w:bCs/>
                <w:i/>
                <w:iCs/>
                <w:sz w:val="20"/>
                <w:szCs w:val="20"/>
              </w:rPr>
              <w:t>reasons</w:t>
            </w:r>
            <w:r w:rsidRPr="00280670">
              <w:rPr>
                <w:rFonts w:ascii="Poppins" w:hAnsi="Poppins" w:eastAsia="Times New Roman" w:cs="Poppins"/>
                <w:bCs/>
                <w:i/>
                <w:iCs/>
                <w:sz w:val="20"/>
                <w:szCs w:val="20"/>
              </w:rPr>
              <w:t xml:space="preserve"> why your </w:t>
            </w:r>
            <w:r w:rsidRPr="00280670" w:rsidR="007A03B1">
              <w:rPr>
                <w:rFonts w:ascii="Poppins" w:hAnsi="Poppins" w:eastAsia="Times New Roman" w:cs="Poppins"/>
                <w:bCs/>
                <w:i/>
                <w:iCs/>
                <w:sz w:val="20"/>
                <w:szCs w:val="20"/>
              </w:rPr>
              <w:t>model</w:t>
            </w:r>
            <w:r w:rsidRPr="00280670">
              <w:rPr>
                <w:rFonts w:ascii="Poppins" w:hAnsi="Poppins" w:eastAsia="Times New Roman" w:cs="Poppins"/>
                <w:bCs/>
                <w:i/>
                <w:iCs/>
                <w:sz w:val="20"/>
                <w:szCs w:val="20"/>
              </w:rPr>
              <w:t xml:space="preserve"> was chosen. This should include the care setting for delivery and follow-up, referral pathway into the service and responsibilities for care before, during and after infusions. Consideration should be given to MDT requirements and equitable access for patients</w:t>
            </w:r>
          </w:p>
          <w:p w:rsidRPr="008A1183" w:rsidR="00D85956" w:rsidP="001B36EE" w:rsidRDefault="004045DA" w14:paraId="71A0336B" w14:textId="02481D34">
            <w:pPr>
              <w:pStyle w:val="ListParagraph"/>
              <w:numPr>
                <w:ilvl w:val="0"/>
                <w:numId w:val="13"/>
              </w:numPr>
              <w:spacing w:after="60"/>
              <w:ind w:left="357" w:hanging="357"/>
              <w:contextualSpacing w:val="0"/>
              <w:rPr>
                <w:rFonts w:ascii="Poppins" w:hAnsi="Poppins" w:eastAsia="Times New Roman" w:cs="Poppins"/>
                <w:b/>
                <w:i/>
                <w:iCs/>
              </w:rPr>
            </w:pPr>
            <w:r w:rsidRPr="00280670">
              <w:rPr>
                <w:rFonts w:ascii="Poppins" w:hAnsi="Poppins" w:eastAsia="Times New Roman" w:cs="Poppins"/>
                <w:bCs/>
                <w:i/>
                <w:iCs/>
                <w:sz w:val="20"/>
                <w:szCs w:val="20"/>
              </w:rPr>
              <w:t xml:space="preserve">Potential economic benefits for the proposed service model should be described </w:t>
            </w:r>
          </w:p>
        </w:tc>
      </w:tr>
      <w:tr w:rsidRPr="00C43185" w:rsidR="00280670" w:rsidTr="00B16CC5" w14:paraId="4215A7CB" w14:textId="77777777">
        <w:trPr>
          <w:trHeight w:val="4989"/>
        </w:trPr>
        <w:tc>
          <w:tcPr>
            <w:tcW w:w="8630" w:type="dxa"/>
            <w:tcBorders>
              <w:top w:val="single" w:color="0023C8" w:sz="4" w:space="0"/>
              <w:left w:val="single" w:color="0023C8" w:sz="4" w:space="0"/>
              <w:bottom w:val="single" w:color="0023C8" w:sz="4" w:space="0"/>
              <w:right w:val="single" w:color="0023C8" w:sz="4" w:space="0"/>
            </w:tcBorders>
            <w:shd w:val="clear" w:color="auto" w:fill="FFFFFF" w:themeFill="background1"/>
          </w:tcPr>
          <w:p w:rsidRPr="00AD090F" w:rsidR="00280670" w:rsidP="001B36EE" w:rsidRDefault="00280670" w14:paraId="67392B68" w14:textId="77777777">
            <w:pPr>
              <w:pStyle w:val="Heading2"/>
              <w:spacing w:before="0" w:after="60"/>
              <w:rPr>
                <w:rFonts w:ascii="Poppins" w:hAnsi="Poppins" w:cs="Poppins"/>
                <w:color w:val="0023C8"/>
              </w:rPr>
            </w:pPr>
            <w:bookmarkStart w:name="_Toc229391532" w:id="9"/>
            <w:r w:rsidRPr="00AD090F">
              <w:rPr>
                <w:rFonts w:ascii="Poppins" w:hAnsi="Poppins" w:cs="Poppins"/>
                <w:color w:val="0023C8"/>
              </w:rPr>
              <w:t>3.1 Costs associated with T1D</w:t>
            </w:r>
            <w:bookmarkEnd w:id="9"/>
          </w:p>
          <w:p w:rsidRPr="00AD090F" w:rsidR="00280670" w:rsidP="001B36EE" w:rsidRDefault="00280670" w14:paraId="0352A8A3" w14:textId="5763C3D8">
            <w:pPr>
              <w:pStyle w:val="ListParagraph"/>
              <w:numPr>
                <w:ilvl w:val="0"/>
                <w:numId w:val="36"/>
              </w:numPr>
              <w:spacing w:after="60"/>
              <w:ind w:left="357" w:hanging="357"/>
              <w:contextualSpacing w:val="0"/>
              <w:rPr>
                <w:rFonts w:ascii="Poppins" w:hAnsi="Poppins" w:eastAsia="Calibri" w:cs="Poppins"/>
                <w:b/>
                <w:bCs/>
                <w:color w:val="A6A6A6" w:themeColor="background1" w:themeShade="A6"/>
                <w:sz w:val="20"/>
                <w:szCs w:val="20"/>
              </w:rPr>
            </w:pPr>
            <w:bookmarkStart w:name="_Toc219127509" w:id="10"/>
            <w:r w:rsidRPr="00AD090F">
              <w:rPr>
                <w:rFonts w:ascii="Poppins" w:hAnsi="Poppins" w:cs="Poppins"/>
                <w:sz w:val="20"/>
                <w:szCs w:val="20"/>
              </w:rPr>
              <w:t>Approximately £1.6 billion is spent by the NHS annually in the UK on T1D</w:t>
            </w:r>
            <w:r w:rsidR="00A104B9">
              <w:rPr>
                <w:rFonts w:ascii="Poppins" w:hAnsi="Poppins" w:cs="Poppins"/>
                <w:sz w:val="20"/>
                <w:szCs w:val="20"/>
              </w:rPr>
              <w:t xml:space="preserve"> (based on 2021-22 data)</w:t>
            </w:r>
            <w:r w:rsidRPr="00AD090F">
              <w:rPr>
                <w:rFonts w:ascii="Poppins" w:hAnsi="Poppins" w:cs="Poppins"/>
                <w:sz w:val="20"/>
                <w:szCs w:val="20"/>
              </w:rPr>
              <w:t>, with 25% spent to treat T1D complications. This equates to approximately £5.9m annual spend on T1D complications per 1m total population.</w:t>
            </w:r>
            <w:r w:rsidRPr="00AD090F">
              <w:rPr>
                <w:rFonts w:ascii="Poppins" w:hAnsi="Poppins" w:cs="Poppins"/>
                <w:b/>
                <w:sz w:val="20"/>
                <w:szCs w:val="20"/>
              </w:rPr>
              <w:fldChar w:fldCharType="begin">
                <w:fldData xml:space="preserve">PEVuZE5vdGU+PENpdGU+PEF1dGhvcj5IZXg8L0F1dGhvcj48WWVhcj4yMDI0PC9ZZWFyPjxSZWNO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</w:fldData>
              </w:fldChar>
            </w:r>
            <w:r w:rsidRPr="00AD090F">
              <w:rPr>
                <w:rFonts w:ascii="Poppins" w:hAnsi="Poppins" w:cs="Poppins"/>
                <w:sz w:val="20"/>
                <w:szCs w:val="20"/>
              </w:rPr>
              <w:instrText xml:space="preserve"> ADDIN EN.CITE </w:instrText>
            </w:r>
            <w:r w:rsidRPr="00AD090F">
              <w:rPr>
                <w:rFonts w:ascii="Poppins" w:hAnsi="Poppins" w:cs="Poppins"/>
                <w:b/>
                <w:sz w:val="20"/>
                <w:szCs w:val="20"/>
              </w:rPr>
              <w:fldChar w:fldCharType="begin">
                <w:fldData xml:space="preserve">PEVuZE5vdGU+PENpdGU+PEF1dGhvcj5IZXg8L0F1dGhvcj48WWVhcj4yMDI0PC9ZZWFyPjxSZWNO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</w:fldData>
              </w:fldChar>
            </w:r>
            <w:r w:rsidRPr="00AD090F">
              <w:rPr>
                <w:rFonts w:ascii="Poppins" w:hAnsi="Poppins" w:cs="Poppins"/>
                <w:sz w:val="20"/>
                <w:szCs w:val="20"/>
              </w:rPr>
              <w:instrText xml:space="preserve"> ADDIN EN.CITE.DATA </w:instrText>
            </w:r>
            <w:r w:rsidRPr="00AD090F">
              <w:rPr>
                <w:rFonts w:ascii="Poppins" w:hAnsi="Poppins" w:cs="Poppins"/>
                <w:b/>
                <w:sz w:val="20"/>
                <w:szCs w:val="20"/>
              </w:rPr>
            </w:r>
            <w:r w:rsidRPr="00AD090F">
              <w:rPr>
                <w:rFonts w:ascii="Poppins" w:hAnsi="Poppins" w:cs="Poppins"/>
                <w:b/>
                <w:sz w:val="20"/>
                <w:szCs w:val="20"/>
              </w:rPr>
              <w:fldChar w:fldCharType="end"/>
            </w:r>
            <w:r w:rsidRPr="00AD090F">
              <w:rPr>
                <w:rFonts w:ascii="Poppins" w:hAnsi="Poppins" w:cs="Poppins"/>
                <w:b/>
                <w:sz w:val="20"/>
                <w:szCs w:val="20"/>
              </w:rPr>
            </w:r>
            <w:r w:rsidRPr="00AD090F">
              <w:rPr>
                <w:rFonts w:ascii="Poppins" w:hAnsi="Poppins" w:cs="Poppins"/>
                <w:b/>
                <w:sz w:val="20"/>
                <w:szCs w:val="20"/>
              </w:rPr>
              <w:fldChar w:fldCharType="separate"/>
            </w:r>
            <w:r w:rsidRPr="00AD090F">
              <w:rPr>
                <w:rFonts w:ascii="Poppins" w:hAnsi="Poppins" w:cs="Poppins"/>
                <w:noProof/>
                <w:sz w:val="20"/>
                <w:szCs w:val="20"/>
                <w:vertAlign w:val="superscript"/>
              </w:rPr>
              <w:t>(Hex, 2024; ONS, 2024)</w:t>
            </w:r>
            <w:r w:rsidRPr="00AD090F">
              <w:rPr>
                <w:rFonts w:ascii="Poppins" w:hAnsi="Poppins" w:cs="Poppins"/>
                <w:b/>
                <w:sz w:val="20"/>
                <w:szCs w:val="20"/>
              </w:rPr>
              <w:fldChar w:fldCharType="end"/>
            </w:r>
            <w:r w:rsidRPr="00AD090F">
              <w:rPr>
                <w:rFonts w:ascii="Poppins" w:hAnsi="Poppins" w:cs="Poppins"/>
                <w:sz w:val="20"/>
                <w:szCs w:val="20"/>
              </w:rPr>
              <w:t xml:space="preserve"> For this ICS this equates to </w:t>
            </w:r>
            <w:r w:rsidRPr="00AD090F">
              <w:rPr>
                <w:rFonts w:ascii="Poppins" w:hAnsi="Poppins" w:eastAsia="Calibri" w:cs="Poppins"/>
                <w:color w:val="A6A6A6" w:themeColor="background1" w:themeShade="A6"/>
                <w:sz w:val="20"/>
                <w:szCs w:val="20"/>
              </w:rPr>
              <w:t>&lt;Insert figures for your local population based on the above national ones or actual, if known)&gt;</w:t>
            </w:r>
            <w:bookmarkEnd w:id="10"/>
            <w:r w:rsidR="00FD2C19">
              <w:rPr>
                <w:rFonts w:ascii="Poppins" w:hAnsi="Poppins" w:eastAsia="Calibri" w:cs="Poppins"/>
                <w:color w:val="A6A6A6" w:themeColor="background1" w:themeShade="A6"/>
                <w:sz w:val="20"/>
                <w:szCs w:val="20"/>
              </w:rPr>
              <w:t xml:space="preserve">                                                         </w:t>
            </w:r>
            <w:r w:rsidR="00FD2C19">
              <w:rPr>
                <w:rFonts w:ascii="Poppins" w:hAnsi="Poppins" w:cs="Poppins"/>
                <w:sz w:val="20"/>
                <w:szCs w:val="20"/>
              </w:rPr>
              <w:t xml:space="preserve">These costs do not include hybrid closed-loop systems (HCL), therefore shorter-term costs will be higher; the estimated costs of HCL is </w:t>
            </w:r>
            <w:r w:rsidR="00631C12">
              <w:rPr>
                <w:rFonts w:ascii="Poppins" w:hAnsi="Poppins" w:cs="Poppins"/>
                <w:sz w:val="20"/>
                <w:szCs w:val="20"/>
              </w:rPr>
              <w:t>~£22,000 over 4 years per patient, with uptake levels in March 2025 reaching 62% of all eligible patients under NICE criteria</w:t>
            </w:r>
            <w:r w:rsidR="00631C12">
              <w:rPr>
                <w:rFonts w:ascii="Poppins" w:hAnsi="Poppins" w:cs="Poppins"/>
                <w:sz w:val="20"/>
                <w:szCs w:val="20"/>
              </w:rPr>
              <w:fldChar w:fldCharType="begin"/>
            </w:r>
            <w:r w:rsidR="00211CB6">
              <w:rPr>
                <w:rFonts w:ascii="Poppins" w:hAnsi="Poppins" w:cs="Poppins"/>
                <w:sz w:val="20"/>
                <w:szCs w:val="20"/>
              </w:rPr>
              <w:instrText xml:space="preserve"> ADDIN EN.CITE &lt;EndNote&gt;&lt;Cite&gt;&lt;Author&gt;NICE&lt;/Author&gt;&lt;Year&gt;2023&lt;/Year&gt;&lt;RecNum&gt;29471&lt;/RecNum&gt;&lt;DisplayText&gt;&lt;style face="superscript"&gt;(NICE, 2023; NICE, 2025a)&lt;/style&gt;&lt;/DisplayText&gt;&lt;record&gt;&lt;rec-number&gt;29471&lt;/rec-number&gt;&lt;foreign-keys&gt;&lt;key app="EN" db-id="f5f5va0252p5fee95pj55es3tdereta29dxz" timestamp="1750147782" guid="782ef198-cb09-4753-9790-da91e726ecbe"&gt;29471&lt;/key&gt;&lt;/foreign-keys&gt;&lt;ref-type name="Generic"&gt;13&lt;/ref-type&gt;&lt;contributors&gt;&lt;authors&gt;&lt;author&gt;NICE,&lt;/author&gt;&lt;/authors&gt;&lt;/contributors&gt;&lt;titles&gt;&lt;title&gt;Hybrid closed loop systems for managing blood glucose levels in type 1 diabetes&lt;/title&gt;&lt;/titles&gt;&lt;dates&gt;&lt;year&gt;2023&lt;/year&gt;&lt;/dates&gt;&lt;urls&gt;&lt;related-urls&gt;&lt;url&gt;https://www.nice.org.uk/guidance/ta943&lt;/url&gt;&lt;/related-urls&gt;&lt;/urls&gt;&lt;access-date&gt;June 2025&lt;/access-date&gt;&lt;/record&gt;&lt;/Cite&gt;&lt;Cite&gt;&lt;Author&gt;NICE&lt;/Author&gt;&lt;Year&gt;2025&lt;/Year&gt;&lt;RecNum&gt;29468&lt;/RecNum&gt;&lt;record&gt;&lt;rec-number&gt;29468&lt;/rec-number&gt;&lt;foreign-keys&gt;&lt;key app="EN" db-id="f5f5va0252p5fee95pj55es3tdereta29dxz" timestamp="1750087588" guid="46a82e12-f32e-4459-b192-4d30492802d8"&gt;29468&lt;/key&gt;&lt;/foreign-keys&gt;&lt;ref-type name="Generic"&gt;13&lt;/ref-type&gt;&lt;contributors&gt;&lt;authors&gt;&lt;author&gt;NICE,&lt;/author&gt;&lt;/authors&gt;&lt;/contributors&gt;&lt;titles&gt;&lt;title&gt;‘Artificial pancreas’ transforming the lives of thousands of children and young people with type 1 diabetes&lt;/title&gt;&lt;/titles&gt;&lt;dates&gt;&lt;year&gt;2025&lt;/year&gt;&lt;/dates&gt;&lt;urls&gt;&lt;related-urls&gt;&lt;url&gt;https://www.nice.org.uk/news/articles/-artificial-pancreas-transforming-lives-of-thousands-of-children-and-young-people-with-type-1-diabetes&lt;/url&gt;&lt;/related-urls&gt;&lt;/urls&gt;&lt;access-date&gt;June 2025&lt;/access-date&gt;&lt;/record&gt;&lt;/Cite&gt;&lt;/EndNote&gt;</w:instrText>
            </w:r>
            <w:r w:rsidR="00631C12">
              <w:rPr>
                <w:rFonts w:ascii="Poppins" w:hAnsi="Poppins" w:cs="Poppins"/>
                <w:sz w:val="20"/>
                <w:szCs w:val="20"/>
              </w:rPr>
              <w:fldChar w:fldCharType="separate"/>
            </w:r>
            <w:r w:rsidRPr="00211CB6" w:rsidR="00211CB6">
              <w:rPr>
                <w:rFonts w:ascii="Poppins" w:hAnsi="Poppins" w:cs="Poppins"/>
                <w:noProof/>
                <w:sz w:val="20"/>
                <w:szCs w:val="20"/>
                <w:vertAlign w:val="superscript"/>
              </w:rPr>
              <w:t>(NICE, 2023; NICE, 2025a)</w:t>
            </w:r>
            <w:r w:rsidR="00631C12">
              <w:rPr>
                <w:rFonts w:ascii="Poppins" w:hAnsi="Poppins" w:cs="Poppins"/>
                <w:sz w:val="20"/>
                <w:szCs w:val="20"/>
              </w:rPr>
              <w:fldChar w:fldCharType="end"/>
            </w:r>
            <w:r w:rsidR="00631C12">
              <w:rPr>
                <w:rFonts w:ascii="Poppins" w:hAnsi="Poppins" w:cs="Poppins"/>
                <w:sz w:val="20"/>
                <w:szCs w:val="20"/>
              </w:rPr>
              <w:t xml:space="preserve">  </w:t>
            </w:r>
          </w:p>
          <w:p w:rsidRPr="00AD090F" w:rsidR="00280670" w:rsidP="001B36EE" w:rsidRDefault="00280670" w14:paraId="76CA4385" w14:textId="5BA30FD5">
            <w:pPr>
              <w:pStyle w:val="ListParagraph"/>
              <w:numPr>
                <w:ilvl w:val="0"/>
                <w:numId w:val="36"/>
              </w:numPr>
              <w:spacing w:after="60"/>
              <w:ind w:left="357" w:hanging="357"/>
              <w:contextualSpacing w:val="0"/>
              <w:rPr>
                <w:rFonts w:ascii="Poppins" w:hAnsi="Poppins" w:eastAsia="Calibri" w:cs="Poppins"/>
                <w:b/>
                <w:bCs/>
                <w:color w:val="A6A6A6" w:themeColor="background1" w:themeShade="A6"/>
                <w:sz w:val="20"/>
                <w:szCs w:val="20"/>
              </w:rPr>
            </w:pPr>
            <w:bookmarkStart w:name="_Toc219127510" w:id="11"/>
            <w:r w:rsidRPr="00AD090F">
              <w:rPr>
                <w:rFonts w:ascii="Poppins" w:hAnsi="Poppins" w:cs="Poppins"/>
                <w:sz w:val="20"/>
                <w:szCs w:val="20"/>
              </w:rPr>
              <w:t>Per 1 million total UK population, T1D complications result in ~153 cases of end-stage renal failure, ~125 leg, toe or foot amputations each year, with ~50% of people with T1D having some form of retinopathy.</w:t>
            </w:r>
            <w:r w:rsidR="00DB1BB9">
              <w:rPr>
                <w:rFonts w:ascii="Poppins" w:hAnsi="Poppins" w:cs="Poppins"/>
                <w:sz w:val="20"/>
                <w:szCs w:val="20"/>
              </w:rPr>
              <w:fldChar w:fldCharType="begin"/>
            </w:r>
            <w:r w:rsidR="00DB1BB9">
              <w:rPr>
                <w:rFonts w:ascii="Poppins" w:hAnsi="Poppins" w:cs="Poppins"/>
                <w:sz w:val="20"/>
                <w:szCs w:val="20"/>
              </w:rPr>
              <w:instrText xml:space="preserve"> ADDIN EN.CITE &lt;EndNote&gt;&lt;Cite&gt;&lt;Author&gt;NICE CKS&lt;/Author&gt;&lt;Year&gt;2024&lt;/Year&gt;&lt;RecNum&gt;29339&lt;/RecNum&gt;&lt;DisplayText&gt;&lt;style face="superscript"&gt;(NICE CKS, 2024; ONS, 2024)&lt;/style&gt;&lt;/DisplayText&gt;&lt;record&gt;&lt;rec-number&gt;29339&lt;/rec-number&gt;&lt;foreign-keys&gt;&lt;key app="EN" db-id="f5f5va0252p5fee95pj55es3tdereta29dxz" timestamp="1746100013" guid="4460d741-f2d5-4d9e-8e68-85836f8aa187"&gt;29339&lt;/key&gt;&lt;/foreign-keys&gt;&lt;ref-type name="Electronic Article"&gt;43&lt;/ref-type&gt;&lt;contributors&gt;&lt;authors&gt;&lt;author&gt;NICE CKS,&lt;/author&gt;&lt;/authors&gt;&lt;/contributors&gt;&lt;titles&gt;&lt;title&gt;Diabetes- type 1. What are the complications?&lt;/title&gt;&lt;/titles&gt;&lt;dates&gt;&lt;year&gt;2024&lt;/year&gt;&lt;pub-dates&gt;&lt;date&gt;June 2025&lt;/date&gt;&lt;/pub-dates&gt;&lt;/dates&gt;&lt;urls&gt;&lt;related-urls&gt;&lt;url&gt;https://cks.nice.org.uk/topics/diabetes-type-1/background-information/complications&lt;/url&gt;&lt;/related-urls&gt;&lt;/urls&gt;&lt;access-date&gt;May 2025&lt;/access-date&gt;&lt;/record&gt;&lt;/Cite&gt;&lt;Cite&gt;&lt;Author&gt;ONS&lt;/Author&gt;&lt;Year&gt;2024&lt;/Year&gt;&lt;RecNum&gt;29724&lt;/RecNum&gt;&lt;record&gt;&lt;rec-number&gt;29724&lt;/rec-number&gt;&lt;foreign-keys&gt;&lt;key app="EN" db-id="f5f5va0252p5fee95pj55es3tdereta29dxz" timestamp="1751899667" guid="d354aceb-4521-4df8-a2d5-52014d487b24"&gt;29724&lt;/key&gt;&lt;/foreign-keys&gt;&lt;ref-type name="Generic"&gt;13&lt;/ref-type&gt;&lt;contributors&gt;&lt;authors&gt;&lt;author&gt;ONS,&lt;/author&gt;&lt;/authors&gt;&lt;/contributors&gt;&lt;titles&gt;&lt;title&gt;Estimates of the population for the UK, England, Wales, Scotland, and Northern Ireland&lt;/title&gt;&lt;/titles&gt;&lt;dates&gt;&lt;year&gt;2024&lt;/year&gt;&lt;/dates&gt;&lt;urls&gt;&lt;related-urls&gt;&lt;url&gt;https://www.ons.gov.uk/peoplepopulationandcommunity/populationandmigration/populationestimates/datasets/populationestimatesforukenglandandwalesscotlandandnorthernireland&lt;/url&gt;&lt;/related-urls&gt;&lt;/urls&gt;&lt;access-date&gt;July 2025&lt;/access-date&gt;&lt;/record&gt;&lt;/Cite&gt;&lt;/EndNote&gt;</w:instrText>
            </w:r>
            <w:r w:rsidR="00DB1BB9">
              <w:rPr>
                <w:rFonts w:ascii="Poppins" w:hAnsi="Poppins" w:cs="Poppins"/>
                <w:sz w:val="20"/>
                <w:szCs w:val="20"/>
              </w:rPr>
              <w:fldChar w:fldCharType="separate"/>
            </w:r>
            <w:r w:rsidRPr="00DB1BB9" w:rsidR="00DB1BB9">
              <w:rPr>
                <w:rFonts w:ascii="Poppins" w:hAnsi="Poppins" w:cs="Poppins"/>
                <w:noProof/>
                <w:sz w:val="20"/>
                <w:szCs w:val="20"/>
                <w:vertAlign w:val="superscript"/>
              </w:rPr>
              <w:t>(NICE CKS, 2024; ONS, 2024)</w:t>
            </w:r>
            <w:r w:rsidR="00DB1BB9">
              <w:rPr>
                <w:rFonts w:ascii="Poppins" w:hAnsi="Poppins" w:cs="Poppins"/>
                <w:sz w:val="20"/>
                <w:szCs w:val="20"/>
              </w:rPr>
              <w:fldChar w:fldCharType="end"/>
            </w:r>
            <w:r w:rsidRPr="00AD090F">
              <w:rPr>
                <w:rFonts w:ascii="Poppins" w:hAnsi="Poppins" w:cs="Poppins"/>
                <w:sz w:val="20"/>
                <w:szCs w:val="20"/>
              </w:rPr>
              <w:t xml:space="preserve"> For this ICS this equates to </w:t>
            </w:r>
            <w:r w:rsidRPr="00AD090F">
              <w:rPr>
                <w:rFonts w:ascii="Poppins" w:hAnsi="Poppins" w:eastAsia="Calibri" w:cs="Poppins"/>
                <w:color w:val="A6A6A6" w:themeColor="background1" w:themeShade="A6"/>
                <w:sz w:val="20"/>
                <w:szCs w:val="20"/>
              </w:rPr>
              <w:t>&lt;Insert figures for your local population based on the above national ones</w:t>
            </w:r>
            <w:r w:rsidR="00AC56C3">
              <w:rPr>
                <w:rFonts w:ascii="Poppins" w:hAnsi="Poppins" w:eastAsia="Calibri" w:cs="Poppins"/>
                <w:color w:val="A6A6A6" w:themeColor="background1" w:themeShade="A6"/>
                <w:sz w:val="20"/>
                <w:szCs w:val="20"/>
              </w:rPr>
              <w:t xml:space="preserve"> utilising National Diabetes Audit (NDA) results</w:t>
            </w:r>
            <w:r w:rsidRPr="00AD090F">
              <w:rPr>
                <w:rFonts w:ascii="Poppins" w:hAnsi="Poppins" w:eastAsia="Calibri" w:cs="Poppins"/>
                <w:color w:val="A6A6A6" w:themeColor="background1" w:themeShade="A6"/>
                <w:sz w:val="20"/>
                <w:szCs w:val="20"/>
              </w:rPr>
              <w:t>&gt;</w:t>
            </w:r>
            <w:bookmarkEnd w:id="11"/>
          </w:p>
          <w:p w:rsidRPr="00AD090F" w:rsidR="00280670" w:rsidP="001B36EE" w:rsidRDefault="00280670" w14:paraId="5CF571DA" w14:textId="77777777">
            <w:pPr>
              <w:pStyle w:val="ListParagraph"/>
              <w:numPr>
                <w:ilvl w:val="0"/>
                <w:numId w:val="13"/>
              </w:numPr>
              <w:spacing w:after="60"/>
              <w:ind w:left="357" w:hanging="357"/>
              <w:contextualSpacing w:val="0"/>
              <w:rPr>
                <w:rFonts w:ascii="Poppins" w:hAnsi="Poppins" w:eastAsia="Calibri" w:cs="Poppins"/>
                <w:color w:val="A6A6A6" w:themeColor="background1" w:themeShade="A6"/>
              </w:rPr>
            </w:pPr>
            <w:r w:rsidRPr="00AD090F">
              <w:rPr>
                <w:rFonts w:ascii="Poppins" w:hAnsi="Poppins" w:cs="Poppins"/>
                <w:sz w:val="20"/>
                <w:szCs w:val="20"/>
              </w:rPr>
              <w:t>In the UK, the cost of one DKA episode is estimated to be £2,064 in adults and £1,387 in adolescents (11-18 years of age).</w:t>
            </w:r>
            <w:r w:rsidRPr="00AD090F">
              <w:rPr>
                <w:rFonts w:ascii="Poppins" w:hAnsi="Poppins" w:cs="Poppins"/>
                <w:sz w:val="20"/>
                <w:szCs w:val="20"/>
              </w:rPr>
              <w:fldChar w:fldCharType="begin">
                <w:fldData xml:space="preserve">PEVuZE5vdGU+PENpdGU+PEF1dGhvcj5EaGF0YXJpeWE8L0F1dGhvcj48WWVhcj4yMDIwPC9ZZWFy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</w:fldData>
              </w:fldChar>
            </w:r>
            <w:r w:rsidRPr="00AD090F">
              <w:rPr>
                <w:rFonts w:ascii="Poppins" w:hAnsi="Poppins" w:cs="Poppins"/>
                <w:sz w:val="20"/>
                <w:szCs w:val="20"/>
              </w:rPr>
              <w:instrText xml:space="preserve"> ADDIN EN.CITE </w:instrText>
            </w:r>
            <w:r w:rsidRPr="00AD090F">
              <w:rPr>
                <w:rFonts w:ascii="Poppins" w:hAnsi="Poppins" w:cs="Poppins"/>
                <w:sz w:val="20"/>
                <w:szCs w:val="20"/>
              </w:rPr>
              <w:fldChar w:fldCharType="begin">
                <w:fldData xml:space="preserve">PEVuZE5vdGU+PENpdGU+PEF1dGhvcj5EaGF0YXJpeWE8L0F1dGhvcj48WWVhcj4yMDIwPC9ZZWFy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</w:fldData>
              </w:fldChar>
            </w:r>
            <w:r w:rsidRPr="00AD090F">
              <w:rPr>
                <w:rFonts w:ascii="Poppins" w:hAnsi="Poppins" w:cs="Poppins"/>
                <w:sz w:val="20"/>
                <w:szCs w:val="20"/>
              </w:rPr>
              <w:instrText xml:space="preserve"> ADDIN EN.CITE.DATA </w:instrText>
            </w:r>
            <w:r w:rsidRPr="00AD090F">
              <w:rPr>
                <w:rFonts w:ascii="Poppins" w:hAnsi="Poppins" w:cs="Poppins"/>
                <w:sz w:val="20"/>
                <w:szCs w:val="20"/>
              </w:rPr>
            </w:r>
            <w:r w:rsidRPr="00AD090F">
              <w:rPr>
                <w:rFonts w:ascii="Poppins" w:hAnsi="Poppins" w:cs="Poppins"/>
                <w:sz w:val="20"/>
                <w:szCs w:val="20"/>
              </w:rPr>
              <w:fldChar w:fldCharType="end"/>
            </w:r>
            <w:r w:rsidRPr="00AD090F">
              <w:rPr>
                <w:rFonts w:ascii="Poppins" w:hAnsi="Poppins" w:cs="Poppins"/>
                <w:sz w:val="20"/>
                <w:szCs w:val="20"/>
              </w:rPr>
            </w:r>
            <w:r w:rsidRPr="00AD090F">
              <w:rPr>
                <w:rFonts w:ascii="Poppins" w:hAnsi="Poppins" w:cs="Poppins"/>
                <w:sz w:val="20"/>
                <w:szCs w:val="20"/>
              </w:rPr>
              <w:fldChar w:fldCharType="separate"/>
            </w:r>
            <w:r w:rsidRPr="00AD090F">
              <w:rPr>
                <w:rFonts w:ascii="Poppins" w:hAnsi="Poppins" w:cs="Poppins"/>
                <w:noProof/>
                <w:sz w:val="20"/>
                <w:szCs w:val="20"/>
                <w:vertAlign w:val="superscript"/>
              </w:rPr>
              <w:t>(Dhatariya, 2020)</w:t>
            </w:r>
            <w:r w:rsidRPr="00AD090F">
              <w:rPr>
                <w:rFonts w:ascii="Poppins" w:hAnsi="Poppins" w:cs="Poppins"/>
                <w:sz w:val="20"/>
                <w:szCs w:val="20"/>
              </w:rPr>
              <w:fldChar w:fldCharType="end"/>
            </w:r>
            <w:r w:rsidRPr="00AD090F">
              <w:rPr>
                <w:rFonts w:ascii="Poppins" w:hAnsi="Poppins" w:cs="Poppins"/>
                <w:sz w:val="20"/>
                <w:szCs w:val="20"/>
              </w:rPr>
              <w:t xml:space="preserve"> This Trust had </w:t>
            </w:r>
            <w:r w:rsidRPr="00AD090F">
              <w:rPr>
                <w:rFonts w:ascii="Poppins" w:hAnsi="Poppins" w:eastAsia="Calibri" w:cs="Poppins"/>
                <w:color w:val="A6A6A6" w:themeColor="background1" w:themeShade="A6"/>
                <w:sz w:val="20"/>
                <w:szCs w:val="20"/>
              </w:rPr>
              <w:t xml:space="preserve">&lt;Insert numbers if known&gt; </w:t>
            </w:r>
            <w:r w:rsidRPr="00AD090F">
              <w:rPr>
                <w:rFonts w:ascii="Poppins" w:hAnsi="Poppins" w:cs="Poppins"/>
                <w:sz w:val="20"/>
                <w:szCs w:val="20"/>
              </w:rPr>
              <w:t>admissions for DKA in children and young people in 2024 and</w:t>
            </w:r>
            <w:r w:rsidRPr="00AD090F">
              <w:rPr>
                <w:rFonts w:ascii="Poppins" w:hAnsi="Poppins" w:eastAsia="Calibri" w:cs="Poppins"/>
                <w:color w:val="A6A6A6" w:themeColor="background1" w:themeShade="A6"/>
                <w:sz w:val="20"/>
                <w:szCs w:val="20"/>
              </w:rPr>
              <w:t xml:space="preserve"> &lt;Insert numbers if known&gt; </w:t>
            </w:r>
            <w:r w:rsidRPr="00AD090F">
              <w:rPr>
                <w:rFonts w:ascii="Poppins" w:hAnsi="Poppins" w:eastAsia="Times New Roman" w:cs="Poppins"/>
                <w:sz w:val="20"/>
                <w:szCs w:val="20"/>
              </w:rPr>
              <w:t xml:space="preserve">in adults, at an estimated total cost of </w:t>
            </w:r>
            <w:r w:rsidRPr="00AD090F">
              <w:rPr>
                <w:rFonts w:ascii="Poppins" w:hAnsi="Poppins" w:eastAsia="Calibri" w:cs="Poppins"/>
                <w:color w:val="A6A6A6" w:themeColor="background1" w:themeShade="A6"/>
                <w:sz w:val="20"/>
                <w:szCs w:val="20"/>
              </w:rPr>
              <w:t>&lt;Insert number based on above costs&gt;</w:t>
            </w:r>
          </w:p>
          <w:p w:rsidRPr="00AD090F" w:rsidR="00AD090F" w:rsidP="001B36EE" w:rsidRDefault="00AD090F" w14:paraId="25AB923B" w14:textId="62928238">
            <w:pPr>
              <w:pStyle w:val="ListParagraph"/>
              <w:numPr>
                <w:ilvl w:val="0"/>
                <w:numId w:val="13"/>
              </w:numPr>
              <w:spacing w:after="60"/>
              <w:contextualSpacing w:val="0"/>
              <w:rPr>
                <w:rFonts w:ascii="Poppins" w:hAnsi="Poppins" w:cs="Poppins"/>
                <w:sz w:val="20"/>
                <w:szCs w:val="20"/>
              </w:rPr>
            </w:pPr>
            <w:r w:rsidRPr="00AD090F">
              <w:rPr>
                <w:rFonts w:ascii="Poppins" w:hAnsi="Poppins" w:cs="Poppins"/>
                <w:sz w:val="20"/>
                <w:szCs w:val="20"/>
              </w:rPr>
              <w:t>Approximately 33% of prescribed insulin and associated blood glucose monitoring agents is for T1D, equating to £8.56m annually in England in 2022-23</w:t>
            </w:r>
            <w:r w:rsidR="00DB1BB9">
              <w:rPr>
                <w:rFonts w:ascii="Poppins" w:hAnsi="Poppins" w:cs="Poppins"/>
                <w:sz w:val="20"/>
                <w:szCs w:val="20"/>
              </w:rPr>
              <w:fldChar w:fldCharType="begin">
                <w:fldData xml:space="preserve">PEVuZE5vdGU+PENpdGU+PEF1dGhvcj5OSFMgQnVzaW5lc3MgU2VydmljZSBBdXRob3JpdHk8L0F1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</w:fldData>
              </w:fldChar>
            </w:r>
            <w:r w:rsidR="00DB1BB9">
              <w:rPr>
                <w:rFonts w:ascii="Poppins" w:hAnsi="Poppins" w:cs="Poppins"/>
                <w:sz w:val="20"/>
                <w:szCs w:val="20"/>
              </w:rPr>
              <w:instrText xml:space="preserve"> ADDIN EN.CITE </w:instrText>
            </w:r>
            <w:r w:rsidR="00DB1BB9">
              <w:rPr>
                <w:rFonts w:ascii="Poppins" w:hAnsi="Poppins" w:cs="Poppins"/>
                <w:sz w:val="20"/>
                <w:szCs w:val="20"/>
              </w:rPr>
              <w:fldChar w:fldCharType="begin">
                <w:fldData xml:space="preserve">PEVuZE5vdGU+PENpdGU+PEF1dGhvcj5OSFMgQnVzaW5lc3MgU2VydmljZSBBdXRob3JpdHk8L0F1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</w:fldData>
              </w:fldChar>
            </w:r>
            <w:r w:rsidR="00DB1BB9">
              <w:rPr>
                <w:rFonts w:ascii="Poppins" w:hAnsi="Poppins" w:cs="Poppins"/>
                <w:sz w:val="20"/>
                <w:szCs w:val="20"/>
              </w:rPr>
              <w:instrText xml:space="preserve"> ADDIN EN.CITE.DATA </w:instrText>
            </w:r>
            <w:r w:rsidR="00DB1BB9">
              <w:rPr>
                <w:rFonts w:ascii="Poppins" w:hAnsi="Poppins" w:cs="Poppins"/>
                <w:sz w:val="20"/>
                <w:szCs w:val="20"/>
              </w:rPr>
            </w:r>
            <w:r w:rsidR="00DB1BB9">
              <w:rPr>
                <w:rFonts w:ascii="Poppins" w:hAnsi="Poppins" w:cs="Poppins"/>
                <w:sz w:val="20"/>
                <w:szCs w:val="20"/>
              </w:rPr>
              <w:fldChar w:fldCharType="end"/>
            </w:r>
            <w:r w:rsidR="00DB1BB9">
              <w:rPr>
                <w:rFonts w:ascii="Poppins" w:hAnsi="Poppins" w:cs="Poppins"/>
                <w:sz w:val="20"/>
                <w:szCs w:val="20"/>
              </w:rPr>
            </w:r>
            <w:r w:rsidR="00DB1BB9">
              <w:rPr>
                <w:rFonts w:ascii="Poppins" w:hAnsi="Poppins" w:cs="Poppins"/>
                <w:sz w:val="20"/>
                <w:szCs w:val="20"/>
              </w:rPr>
              <w:fldChar w:fldCharType="separate"/>
            </w:r>
            <w:r w:rsidRPr="00DB1BB9" w:rsidR="00DB1BB9">
              <w:rPr>
                <w:rFonts w:ascii="Poppins" w:hAnsi="Poppins" w:cs="Poppins"/>
                <w:noProof/>
                <w:sz w:val="20"/>
                <w:szCs w:val="20"/>
                <w:vertAlign w:val="superscript"/>
              </w:rPr>
              <w:t>(NHS Business Service Authority, 2023; Diabetes.co.uk, 2023; ONS, 2024)</w:t>
            </w:r>
            <w:r w:rsidR="00DB1BB9">
              <w:rPr>
                <w:rFonts w:ascii="Poppins" w:hAnsi="Poppins" w:cs="Poppins"/>
                <w:sz w:val="20"/>
                <w:szCs w:val="20"/>
              </w:rPr>
              <w:fldChar w:fldCharType="end"/>
            </w:r>
            <w:r w:rsidRPr="00AD090F">
              <w:rPr>
                <w:rFonts w:ascii="Poppins" w:hAnsi="Poppins" w:cs="Poppins"/>
                <w:sz w:val="20"/>
                <w:szCs w:val="20"/>
              </w:rPr>
              <w:t xml:space="preserve"> </w:t>
            </w:r>
            <w:r w:rsidRPr="00AD090F">
              <w:rPr>
                <w:rFonts w:ascii="Poppins" w:hAnsi="Poppins" w:eastAsia="Calibri" w:cs="Poppins"/>
                <w:color w:val="A6A6A6" w:themeColor="background1" w:themeShade="A6"/>
                <w:sz w:val="20"/>
                <w:szCs w:val="20"/>
              </w:rPr>
              <w:t>&lt;Insert local prescribing costs if available&gt;</w:t>
            </w:r>
          </w:p>
        </w:tc>
      </w:tr>
    </w:tbl>
    <w:p w:rsidR="00DE686F" w:rsidP="001B36EE" w:rsidRDefault="00DE686F" w14:paraId="59735861" w14:textId="77777777">
      <w:pPr>
        <w:spacing w:line="240" w:lineRule="auto"/>
      </w:pPr>
    </w:p>
    <w:tbl>
      <w:tblPr>
        <w:tblStyle w:val="TableGrid"/>
        <w:tblW w:w="0" w:type="auto"/>
        <w:tblCellMar>
          <w:top w:w="227" w:type="dxa"/>
          <w:left w:w="284" w:type="dxa"/>
          <w:bottom w:w="227" w:type="dxa"/>
          <w:right w:w="284" w:type="dxa"/>
        </w:tblCellMar>
        <w:tblLook w:val="04A0" w:firstRow="1" w:lastRow="0" w:firstColumn="1" w:lastColumn="0" w:noHBand="0" w:noVBand="1"/>
      </w:tblPr>
      <w:tblGrid>
        <w:gridCol w:w="8630"/>
      </w:tblGrid>
      <w:tr w:rsidRPr="00C43185" w:rsidR="00AD090F" w:rsidTr="00DE686F" w14:paraId="5CAF0684" w14:textId="77777777">
        <w:tc>
          <w:tcPr>
            <w:tcW w:w="8630" w:type="dxa"/>
            <w:tcBorders>
              <w:top w:val="single" w:color="0023C8" w:sz="4" w:space="0"/>
              <w:left w:val="single" w:color="0023C8" w:sz="4" w:space="0"/>
              <w:bottom w:val="single" w:color="0023C8" w:sz="4" w:space="0"/>
              <w:right w:val="single" w:color="0023C8" w:sz="4" w:space="0"/>
            </w:tcBorders>
          </w:tcPr>
          <w:p w:rsidRPr="00AD090F" w:rsidR="00AD090F" w:rsidP="001B36EE" w:rsidRDefault="00AD090F" w14:paraId="33677602" w14:textId="77777777">
            <w:pPr>
              <w:rPr>
                <w:rFonts w:ascii="Poppins" w:hAnsi="Poppins" w:eastAsia="Calibri" w:cs="Poppins"/>
                <w:sz w:val="20"/>
                <w:szCs w:val="20"/>
              </w:rPr>
            </w:pPr>
            <w:r w:rsidRPr="00AD090F">
              <w:rPr>
                <w:rFonts w:ascii="Poppins" w:hAnsi="Poppins" w:eastAsia="Calibri" w:cs="Poppins"/>
                <w:sz w:val="20"/>
                <w:szCs w:val="20"/>
              </w:rPr>
              <w:t xml:space="preserve">Proactive education and monitoring of children after </w:t>
            </w:r>
            <w:proofErr w:type="gramStart"/>
            <w:r w:rsidRPr="00AD090F">
              <w:rPr>
                <w:rFonts w:ascii="Poppins" w:hAnsi="Poppins" w:eastAsia="Calibri" w:cs="Poppins"/>
                <w:sz w:val="20"/>
                <w:szCs w:val="20"/>
              </w:rPr>
              <w:t>early stage</w:t>
            </w:r>
            <w:proofErr w:type="gramEnd"/>
            <w:r w:rsidRPr="00AD090F">
              <w:rPr>
                <w:rFonts w:ascii="Poppins" w:hAnsi="Poppins" w:eastAsia="Calibri" w:cs="Poppins"/>
                <w:sz w:val="20"/>
                <w:szCs w:val="20"/>
              </w:rPr>
              <w:t xml:space="preserve"> diagnosis, as part of the proposed service, has been shown to:</w:t>
            </w:r>
          </w:p>
          <w:p w:rsidRPr="00AD090F" w:rsidR="00AD090F" w:rsidP="001B36EE" w:rsidRDefault="00AD090F" w14:paraId="2326E76C" w14:textId="77777777">
            <w:pPr>
              <w:pStyle w:val="ListParagraph"/>
              <w:numPr>
                <w:ilvl w:val="0"/>
                <w:numId w:val="14"/>
              </w:numPr>
              <w:spacing w:after="60"/>
              <w:ind w:left="357" w:hanging="357"/>
              <w:contextualSpacing w:val="0"/>
              <w:rPr>
                <w:rFonts w:ascii="Poppins" w:hAnsi="Poppins" w:eastAsia="Calibri" w:cs="Poppins"/>
                <w:sz w:val="20"/>
                <w:szCs w:val="20"/>
              </w:rPr>
            </w:pPr>
            <w:r w:rsidRPr="00AD090F">
              <w:rPr>
                <w:rFonts w:ascii="Poppins" w:hAnsi="Poppins" w:eastAsia="Calibri" w:cs="Poppins"/>
                <w:sz w:val="20"/>
                <w:szCs w:val="20"/>
              </w:rPr>
              <w:t>Reduce rates of DKA by up to 85%, preventing severe complications and reducing hospitalisations</w:t>
            </w:r>
            <w:r w:rsidRPr="00AD090F">
              <w:rPr>
                <w:rFonts w:ascii="Poppins" w:hAnsi="Poppins" w:eastAsia="Calibri" w:cs="Poppins"/>
                <w:sz w:val="20"/>
                <w:szCs w:val="20"/>
              </w:rPr>
              <w:fldChar w:fldCharType="begin">
                <w:fldData xml:space="preserve">PEVuZE5vdGU+PENpdGU+PEF1dGhvcj5CZXNzZXI8L0F1dGhvcj48WWVhcj4yMDIyPC9ZZWFyPjxS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</w:fldData>
              </w:fldChar>
            </w:r>
            <w:r w:rsidRPr="00AD090F">
              <w:rPr>
                <w:rFonts w:ascii="Poppins" w:hAnsi="Poppins" w:eastAsia="Calibri" w:cs="Poppins"/>
                <w:sz w:val="20"/>
                <w:szCs w:val="20"/>
              </w:rPr>
              <w:instrText xml:space="preserve"> ADDIN EN.CITE </w:instrText>
            </w:r>
            <w:r w:rsidRPr="00AD090F">
              <w:rPr>
                <w:rFonts w:ascii="Poppins" w:hAnsi="Poppins" w:eastAsia="Calibri" w:cs="Poppins"/>
                <w:sz w:val="20"/>
                <w:szCs w:val="20"/>
              </w:rPr>
              <w:fldChar w:fldCharType="begin">
                <w:fldData xml:space="preserve">PEVuZE5vdGU+PENpdGU+PEF1dGhvcj5CZXNzZXI8L0F1dGhvcj48WWVhcj4yMDIyPC9ZZWFyPjxS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</w:fldData>
              </w:fldChar>
            </w:r>
            <w:r w:rsidRPr="00AD090F">
              <w:rPr>
                <w:rFonts w:ascii="Poppins" w:hAnsi="Poppins" w:eastAsia="Calibri" w:cs="Poppins"/>
                <w:sz w:val="20"/>
                <w:szCs w:val="20"/>
              </w:rPr>
              <w:instrText xml:space="preserve"> ADDIN EN.CITE.DATA </w:instrText>
            </w:r>
            <w:r w:rsidRPr="00AD090F">
              <w:rPr>
                <w:rFonts w:ascii="Poppins" w:hAnsi="Poppins" w:eastAsia="Calibri" w:cs="Poppins"/>
                <w:sz w:val="20"/>
                <w:szCs w:val="20"/>
              </w:rPr>
            </w:r>
            <w:r w:rsidRPr="00AD090F">
              <w:rPr>
                <w:rFonts w:ascii="Poppins" w:hAnsi="Poppins" w:eastAsia="Calibri" w:cs="Poppins"/>
                <w:sz w:val="20"/>
                <w:szCs w:val="20"/>
              </w:rPr>
              <w:fldChar w:fldCharType="end"/>
            </w:r>
            <w:r w:rsidRPr="00AD090F">
              <w:rPr>
                <w:rFonts w:ascii="Poppins" w:hAnsi="Poppins" w:eastAsia="Calibri" w:cs="Poppins"/>
                <w:sz w:val="20"/>
                <w:szCs w:val="20"/>
              </w:rPr>
            </w:r>
            <w:r w:rsidRPr="00AD090F">
              <w:rPr>
                <w:rFonts w:ascii="Poppins" w:hAnsi="Poppins" w:eastAsia="Calibri" w:cs="Poppins"/>
                <w:sz w:val="20"/>
                <w:szCs w:val="20"/>
              </w:rPr>
              <w:fldChar w:fldCharType="separate"/>
            </w:r>
            <w:r w:rsidRPr="00AD090F">
              <w:rPr>
                <w:rFonts w:ascii="Poppins" w:hAnsi="Poppins" w:eastAsia="Calibri" w:cs="Poppins"/>
                <w:noProof/>
                <w:sz w:val="20"/>
                <w:szCs w:val="20"/>
                <w:vertAlign w:val="superscript"/>
              </w:rPr>
              <w:t>(Besser, 2022; Ziegler, 2020)</w:t>
            </w:r>
            <w:r w:rsidRPr="00AD090F">
              <w:rPr>
                <w:rFonts w:ascii="Poppins" w:hAnsi="Poppins" w:eastAsia="Calibri" w:cs="Poppins"/>
                <w:sz w:val="20"/>
                <w:szCs w:val="20"/>
              </w:rPr>
              <w:fldChar w:fldCharType="end"/>
            </w:r>
          </w:p>
          <w:p w:rsidRPr="00AD090F" w:rsidR="00AD090F" w:rsidP="001B36EE" w:rsidRDefault="00AD090F" w14:paraId="2688D2A8" w14:textId="77777777">
            <w:pPr>
              <w:pStyle w:val="ListParagraph"/>
              <w:numPr>
                <w:ilvl w:val="0"/>
                <w:numId w:val="14"/>
              </w:numPr>
              <w:spacing w:after="60"/>
              <w:ind w:left="357" w:hanging="357"/>
              <w:contextualSpacing w:val="0"/>
              <w:rPr>
                <w:rFonts w:ascii="Poppins" w:hAnsi="Poppins" w:eastAsia="Calibri" w:cs="Poppins"/>
                <w:sz w:val="20"/>
                <w:szCs w:val="20"/>
              </w:rPr>
            </w:pPr>
            <w:r w:rsidRPr="00AD090F">
              <w:rPr>
                <w:rFonts w:ascii="Poppins" w:hAnsi="Poppins" w:eastAsia="Calibri" w:cs="Poppins"/>
                <w:sz w:val="20"/>
                <w:szCs w:val="20"/>
              </w:rPr>
              <w:t>Lead to milder clinical presentation at Stage 3 than in children without Stage 2 diagnosis</w:t>
            </w:r>
            <w:r w:rsidRPr="00AD090F">
              <w:rPr>
                <w:rFonts w:ascii="Poppins" w:hAnsi="Poppins" w:eastAsia="Calibri" w:cs="Poppins"/>
                <w:sz w:val="20"/>
                <w:szCs w:val="20"/>
              </w:rPr>
              <w:fldChar w:fldCharType="begin">
                <w:fldData xml:space="preserve">PEVuZE5vdGU+PENpdGU+PEF1dGhvcj5IdW1tZWw8L0F1dGhvcj48WWVhcj4yMDIzPC9ZZWFyPjxS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==
</w:fldData>
              </w:fldChar>
            </w:r>
            <w:r w:rsidRPr="00AD090F">
              <w:rPr>
                <w:rFonts w:ascii="Poppins" w:hAnsi="Poppins" w:eastAsia="Calibri" w:cs="Poppins"/>
                <w:sz w:val="20"/>
                <w:szCs w:val="20"/>
              </w:rPr>
              <w:instrText xml:space="preserve"> ADDIN EN.CITE </w:instrText>
            </w:r>
            <w:r w:rsidRPr="00AD090F">
              <w:rPr>
                <w:rFonts w:ascii="Poppins" w:hAnsi="Poppins" w:eastAsia="Calibri" w:cs="Poppins"/>
                <w:sz w:val="20"/>
                <w:szCs w:val="20"/>
              </w:rPr>
              <w:fldChar w:fldCharType="begin">
                <w:fldData xml:space="preserve">PEVuZE5vdGU+PENpdGU+PEF1dGhvcj5IdW1tZWw8L0F1dGhvcj48WWVhcj4yMDIzPC9ZZWFyPjxS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==
</w:fldData>
              </w:fldChar>
            </w:r>
            <w:r w:rsidRPr="00AD090F">
              <w:rPr>
                <w:rFonts w:ascii="Poppins" w:hAnsi="Poppins" w:eastAsia="Calibri" w:cs="Poppins"/>
                <w:sz w:val="20"/>
                <w:szCs w:val="20"/>
              </w:rPr>
              <w:instrText xml:space="preserve"> ADDIN EN.CITE.DATA </w:instrText>
            </w:r>
            <w:r w:rsidRPr="00AD090F">
              <w:rPr>
                <w:rFonts w:ascii="Poppins" w:hAnsi="Poppins" w:eastAsia="Calibri" w:cs="Poppins"/>
                <w:sz w:val="20"/>
                <w:szCs w:val="20"/>
              </w:rPr>
            </w:r>
            <w:r w:rsidRPr="00AD090F">
              <w:rPr>
                <w:rFonts w:ascii="Poppins" w:hAnsi="Poppins" w:eastAsia="Calibri" w:cs="Poppins"/>
                <w:sz w:val="20"/>
                <w:szCs w:val="20"/>
              </w:rPr>
              <w:fldChar w:fldCharType="end"/>
            </w:r>
            <w:r w:rsidRPr="00AD090F">
              <w:rPr>
                <w:rFonts w:ascii="Poppins" w:hAnsi="Poppins" w:eastAsia="Calibri" w:cs="Poppins"/>
                <w:sz w:val="20"/>
                <w:szCs w:val="20"/>
              </w:rPr>
            </w:r>
            <w:r w:rsidRPr="00AD090F">
              <w:rPr>
                <w:rFonts w:ascii="Poppins" w:hAnsi="Poppins" w:eastAsia="Calibri" w:cs="Poppins"/>
                <w:sz w:val="20"/>
                <w:szCs w:val="20"/>
              </w:rPr>
              <w:fldChar w:fldCharType="separate"/>
            </w:r>
            <w:r w:rsidRPr="00AD090F">
              <w:rPr>
                <w:rFonts w:ascii="Poppins" w:hAnsi="Poppins" w:eastAsia="Calibri" w:cs="Poppins"/>
                <w:noProof/>
                <w:sz w:val="20"/>
                <w:szCs w:val="20"/>
                <w:vertAlign w:val="superscript"/>
              </w:rPr>
              <w:t>(Hummel, 2023)</w:t>
            </w:r>
            <w:r w:rsidRPr="00AD090F">
              <w:rPr>
                <w:rFonts w:ascii="Poppins" w:hAnsi="Poppins" w:eastAsia="Calibri" w:cs="Poppins"/>
                <w:sz w:val="20"/>
                <w:szCs w:val="20"/>
              </w:rPr>
              <w:fldChar w:fldCharType="end"/>
            </w:r>
          </w:p>
          <w:p w:rsidRPr="00DE686F" w:rsidR="00DE686F" w:rsidP="001B36EE" w:rsidRDefault="00AD090F" w14:paraId="355017D5" w14:textId="5FB0989F">
            <w:pPr>
              <w:pStyle w:val="ListParagraph"/>
              <w:numPr>
                <w:ilvl w:val="0"/>
                <w:numId w:val="14"/>
              </w:numPr>
              <w:spacing w:after="60"/>
              <w:ind w:left="357" w:hanging="357"/>
              <w:contextualSpacing w:val="0"/>
              <w:rPr>
                <w:rFonts w:ascii="Poppins" w:hAnsi="Poppins" w:eastAsia="Calibri" w:cs="Poppins"/>
              </w:rPr>
            </w:pPr>
            <w:r w:rsidRPr="00AD090F">
              <w:rPr>
                <w:rFonts w:ascii="Poppins" w:hAnsi="Poppins" w:eastAsia="Calibri" w:cs="Poppins"/>
                <w:sz w:val="20"/>
                <w:szCs w:val="20"/>
              </w:rPr>
              <w:t>Have the potential to reduce initial insulin requirements compared to managing metabolic control after DKA</w:t>
            </w:r>
            <w:r w:rsidRPr="00AD090F">
              <w:rPr>
                <w:rFonts w:ascii="Poppins" w:hAnsi="Poppins" w:eastAsia="Calibri" w:cs="Poppins"/>
                <w:sz w:val="20"/>
                <w:szCs w:val="20"/>
              </w:rPr>
              <w:fldChar w:fldCharType="begin"/>
            </w:r>
            <w:r w:rsidRPr="00AD090F">
              <w:rPr>
                <w:rFonts w:ascii="Poppins" w:hAnsi="Poppins" w:eastAsia="Calibri" w:cs="Poppins"/>
                <w:sz w:val="20"/>
                <w:szCs w:val="20"/>
              </w:rPr>
              <w:instrText xml:space="preserve"> ADDIN EN.CITE &lt;EndNote&gt;&lt;Cite&gt;&lt;Author&gt;Veijola&lt;/Author&gt;&lt;Year&gt;2016&lt;/Year&gt;&lt;RecNum&gt;29365&lt;/RecNum&gt;&lt;DisplayText&gt;&lt;style face="superscript"&gt;(Veijola, 2016)&lt;/style&gt;&lt;/DisplayText&gt;&lt;record&gt;&lt;rec-number&gt;29365&lt;/rec-number&gt;&lt;foreign-keys&gt;&lt;key app="EN" db-id="f5f5va0252p5fee95pj55es3tdereta29dxz" timestamp="1746168344" guid="adc435cf-f8ed-45ed-b34e-b9386a0f3593"&gt;29365&lt;/key&gt;&lt;/foreign-keys&gt;&lt;ref-type name="Journal Article"&gt;17&lt;/ref-type&gt;&lt;contributors&gt;&lt;authors&gt;&lt;author&gt;Veijola, R.&lt;/author&gt;&lt;author&gt;Koskinen, M.&lt;/author&gt;&lt;author&gt;Helminen, O.&lt;/author&gt;&lt;author&gt;Hekkala, A.&lt;/author&gt;&lt;/authors&gt;&lt;/contributors&gt;&lt;auth-address&gt;Department of Pediatrics, Research Unit for Pediatrics, Dermatology, Clinical Genetics, Gynecology and Obstetrics (PEDEGO), Medical Research Center (MRC) Oulu, University of Oulu, Oulu, Finland.&amp;#xD;Department of Children and Adolescents, Oulu University Hospital, Oulu, Finland.&amp;#xD;Department of Pediatrics, University of Turku, Turku, Finland.&amp;#xD;Department of Pediatrics, Turku University Hospital, Turku, Finland.&lt;/auth-address&gt;&lt;titles&gt;&lt;title&gt;Dysregulation of glucose metabolism in preclinical type 1 diabetes&lt;/title&gt;&lt;secondary-title&gt;Pediatr Diabetes&lt;/secondary-title&gt;&lt;/titles&gt;&lt;periodical&gt;&lt;full-title&gt;Pediatr Diabetes&lt;/full-title&gt;&lt;abbr-1&gt;Pediatric diabetes&lt;/abbr-1&gt;&lt;/periodical&gt;&lt;pages&gt;25-30&lt;/pages&gt;&lt;volume&gt;17 Suppl 22&lt;/volume&gt;&lt;keywords&gt;&lt;keyword&gt;Diabetes Mellitus, Type 1/diagnosis/*metabolism&lt;/keyword&gt;&lt;keyword&gt;Glucose/*metabolism&lt;/keyword&gt;&lt;keyword&gt;Glucose Tolerance Test&lt;/keyword&gt;&lt;keyword&gt;Glycated Hemoglobin/metabolism&lt;/keyword&gt;&lt;keyword&gt;Humans&lt;/keyword&gt;&lt;keyword&gt;HbA1c&lt;/keyword&gt;&lt;keyword&gt;T1d&lt;/keyword&gt;&lt;keyword&gt;glucose metabolism&lt;/keyword&gt;&lt;keyword&gt;insulin secretion&lt;/keyword&gt;&lt;keyword&gt;prediction&lt;/keyword&gt;&lt;/keywords&gt;&lt;dates&gt;&lt;year&gt;2016&lt;/year&gt;&lt;pub-dates&gt;&lt;date&gt;Jul&lt;/date&gt;&lt;/pub-dates&gt;&lt;/dates&gt;&lt;isbn&gt;1399-543x&lt;/isbn&gt;&lt;accession-num&gt;27411433&lt;/accession-num&gt;&lt;urls&gt;&lt;/urls&gt;&lt;electronic-resource-num&gt;10.1111/pedi.12392&lt;/electronic-resource-num&gt;&lt;remote-database-provider&gt;NLM&lt;/remote-database-provider&gt;&lt;language&gt;eng&lt;/language&gt;&lt;/record&gt;&lt;/Cite&gt;&lt;/EndNote&gt;</w:instrText>
            </w:r>
            <w:r w:rsidRPr="00AD090F">
              <w:rPr>
                <w:rFonts w:ascii="Poppins" w:hAnsi="Poppins" w:eastAsia="Calibri" w:cs="Poppins"/>
                <w:sz w:val="20"/>
                <w:szCs w:val="20"/>
              </w:rPr>
              <w:fldChar w:fldCharType="separate"/>
            </w:r>
            <w:r w:rsidRPr="00AD090F">
              <w:rPr>
                <w:rFonts w:ascii="Poppins" w:hAnsi="Poppins" w:eastAsia="Calibri" w:cs="Poppins"/>
                <w:noProof/>
                <w:sz w:val="20"/>
                <w:szCs w:val="20"/>
                <w:vertAlign w:val="superscript"/>
              </w:rPr>
              <w:t>(Veijola, 2016)</w:t>
            </w:r>
            <w:r w:rsidRPr="00AD090F">
              <w:rPr>
                <w:rFonts w:ascii="Poppins" w:hAnsi="Poppins" w:eastAsia="Calibri" w:cs="Poppins"/>
                <w:sz w:val="20"/>
                <w:szCs w:val="20"/>
              </w:rPr>
              <w:fldChar w:fldCharType="end"/>
            </w:r>
          </w:p>
        </w:tc>
      </w:tr>
      <w:tr w:rsidRPr="00C43185" w:rsidR="00DE686F" w:rsidTr="00DE686F" w14:paraId="315352B7" w14:textId="77777777">
        <w:tc>
          <w:tcPr>
            <w:tcW w:w="8630" w:type="dxa"/>
            <w:tcBorders>
              <w:top w:val="single" w:color="0023C8" w:sz="4" w:space="0"/>
              <w:left w:val="single" w:color="0023C8" w:sz="4" w:space="0"/>
              <w:bottom w:val="single" w:color="0023C8" w:sz="4" w:space="0"/>
              <w:right w:val="single" w:color="0023C8" w:sz="4" w:space="0"/>
            </w:tcBorders>
          </w:tcPr>
          <w:p w:rsidRPr="00AD090F" w:rsidR="00DE686F" w:rsidP="001B36EE" w:rsidRDefault="00DE686F" w14:paraId="0173F73A" w14:textId="77777777">
            <w:pPr>
              <w:pStyle w:val="Heading2"/>
              <w:pBdr>
                <w:between w:val="single" w:color="D9D9D9" w:themeColor="background1" w:themeShade="D9" w:sz="4" w:space="1"/>
              </w:pBdr>
              <w:spacing w:before="0" w:after="60"/>
              <w:rPr>
                <w:rFonts w:ascii="Poppins" w:hAnsi="Poppins" w:cs="Poppins"/>
                <w:color w:val="0023C8"/>
              </w:rPr>
            </w:pPr>
            <w:bookmarkStart w:name="_Toc229391533" w:id="12"/>
            <w:r w:rsidRPr="00AD090F">
              <w:rPr>
                <w:rFonts w:ascii="Poppins" w:hAnsi="Poppins" w:cs="Poppins"/>
                <w:color w:val="0023C8"/>
              </w:rPr>
              <w:t>3.2 Likely patient numbers for the proposed service</w:t>
            </w:r>
            <w:bookmarkEnd w:id="12"/>
          </w:p>
          <w:p w:rsidR="00DE686F" w:rsidP="001B36EE" w:rsidRDefault="00DE686F" w14:paraId="261EFDF3" w14:textId="75C26683">
            <w:pPr>
              <w:spacing w:after="60"/>
              <w:rPr>
                <w:rFonts w:ascii="Poppins" w:hAnsi="Poppins" w:eastAsia="Times New Roman" w:cs="Poppins"/>
                <w:bCs/>
                <w:sz w:val="20"/>
                <w:szCs w:val="20"/>
              </w:rPr>
            </w:pPr>
            <w:r w:rsidRPr="00AD090F">
              <w:rPr>
                <w:rFonts w:ascii="Poppins" w:hAnsi="Poppins" w:eastAsia="Times New Roman" w:cs="Poppins"/>
                <w:bCs/>
                <w:sz w:val="20"/>
                <w:szCs w:val="20"/>
              </w:rPr>
              <w:t>There is currently no national screening programme for people with Stage 1 or 2 T1D, therefore most people eligible for teplizumab will be identified via UK research studies (ELSA for paediatrics and T1DRA for adults)</w:t>
            </w:r>
            <w:r>
              <w:rPr>
                <w:rFonts w:ascii="Poppins" w:hAnsi="Poppins" w:eastAsia="Times New Roman" w:cs="Poppins"/>
                <w:bCs/>
                <w:sz w:val="20"/>
                <w:szCs w:val="20"/>
              </w:rPr>
              <w:t xml:space="preserve"> </w:t>
            </w:r>
            <w:r w:rsidRPr="006408C8">
              <w:rPr>
                <w:rFonts w:ascii="Poppins" w:hAnsi="Poppins" w:eastAsia="Times New Roman" w:cs="Poppins"/>
                <w:bCs/>
                <w:sz w:val="20"/>
                <w:szCs w:val="20"/>
              </w:rPr>
              <w:t>or when investigated for other reasons (incidentally/ad hoc) in diabetes clinics. A small number of p</w:t>
            </w:r>
            <w:r w:rsidR="00481952">
              <w:rPr>
                <w:rFonts w:ascii="Poppins" w:hAnsi="Poppins" w:eastAsia="Times New Roman" w:cs="Poppins"/>
                <w:bCs/>
                <w:sz w:val="20"/>
                <w:szCs w:val="20"/>
              </w:rPr>
              <w:t>eople</w:t>
            </w:r>
            <w:r w:rsidRPr="006408C8">
              <w:rPr>
                <w:rFonts w:ascii="Poppins" w:hAnsi="Poppins" w:eastAsia="Times New Roman" w:cs="Poppins"/>
                <w:bCs/>
                <w:sz w:val="20"/>
                <w:szCs w:val="20"/>
              </w:rPr>
              <w:t xml:space="preserve"> may request tests for themselves or a first-degree relative o</w:t>
            </w:r>
            <w:r>
              <w:rPr>
                <w:rFonts w:ascii="Poppins" w:hAnsi="Poppins" w:eastAsia="Times New Roman" w:cs="Poppins"/>
                <w:bCs/>
                <w:sz w:val="20"/>
                <w:szCs w:val="20"/>
              </w:rPr>
              <w:t>f</w:t>
            </w:r>
            <w:r w:rsidRPr="006408C8">
              <w:rPr>
                <w:rFonts w:ascii="Poppins" w:hAnsi="Poppins" w:eastAsia="Times New Roman" w:cs="Poppins"/>
                <w:bCs/>
                <w:sz w:val="20"/>
                <w:szCs w:val="20"/>
              </w:rPr>
              <w:t xml:space="preserve"> a patient with T1D.</w:t>
            </w:r>
          </w:p>
          <w:p w:rsidRPr="00AD090F" w:rsidR="00700EBB" w:rsidP="001B36EE" w:rsidRDefault="00700EBB" w14:paraId="7084B404" w14:textId="55AC6124">
            <w:pPr>
              <w:spacing w:after="60"/>
              <w:rPr>
                <w:rFonts w:ascii="Poppins" w:hAnsi="Poppins" w:eastAsia="Times New Roman" w:cs="Poppins"/>
                <w:bCs/>
                <w:sz w:val="20"/>
                <w:szCs w:val="20"/>
              </w:rPr>
            </w:pPr>
            <w:r w:rsidRPr="00700EBB">
              <w:rPr>
                <w:rFonts w:ascii="Poppins" w:hAnsi="Poppins" w:eastAsia="Times New Roman" w:cs="Poppins"/>
                <w:bCs/>
                <w:sz w:val="20"/>
                <w:szCs w:val="20"/>
              </w:rPr>
              <w:t>There may also be existing patients in the system who have already been identified</w:t>
            </w:r>
            <w:r>
              <w:rPr>
                <w:rFonts w:ascii="Poppins" w:hAnsi="Poppins" w:eastAsia="Times New Roman" w:cs="Poppins"/>
                <w:bCs/>
                <w:sz w:val="20"/>
                <w:szCs w:val="20"/>
              </w:rPr>
              <w:t xml:space="preserve"> </w:t>
            </w:r>
            <w:r w:rsidRPr="00700EBB">
              <w:rPr>
                <w:rFonts w:ascii="Poppins" w:hAnsi="Poppins" w:eastAsia="Times New Roman" w:cs="Poppins"/>
                <w:bCs/>
                <w:sz w:val="20"/>
                <w:szCs w:val="20"/>
              </w:rPr>
              <w:t xml:space="preserve">as eligible for </w:t>
            </w:r>
            <w:r>
              <w:rPr>
                <w:rFonts w:ascii="Poppins" w:hAnsi="Poppins" w:eastAsia="Times New Roman" w:cs="Poppins"/>
                <w:bCs/>
                <w:sz w:val="20"/>
                <w:szCs w:val="20"/>
              </w:rPr>
              <w:t>teplizumab</w:t>
            </w:r>
            <w:r w:rsidRPr="00700EBB">
              <w:rPr>
                <w:rFonts w:ascii="Poppins" w:hAnsi="Poppins" w:eastAsia="Times New Roman" w:cs="Poppins"/>
                <w:bCs/>
                <w:sz w:val="20"/>
                <w:szCs w:val="20"/>
              </w:rPr>
              <w:t>, but these numbers will differ by locality</w:t>
            </w:r>
            <w:r>
              <w:rPr>
                <w:rFonts w:ascii="Poppins" w:hAnsi="Poppins" w:eastAsia="Times New Roman" w:cs="Poppins"/>
                <w:bCs/>
                <w:sz w:val="20"/>
                <w:szCs w:val="20"/>
              </w:rPr>
              <w:t>.</w:t>
            </w:r>
          </w:p>
          <w:p w:rsidRPr="00AD090F" w:rsidR="00DE686F" w:rsidP="001B36EE" w:rsidRDefault="00DE686F" w14:paraId="5CE21871" w14:textId="2CD88E77">
            <w:pPr>
              <w:spacing w:after="60"/>
              <w:rPr>
                <w:rFonts w:ascii="Poppins" w:hAnsi="Poppins" w:eastAsia="Times New Roman" w:cs="Poppins"/>
                <w:bCs/>
                <w:sz w:val="20"/>
                <w:szCs w:val="20"/>
              </w:rPr>
            </w:pPr>
            <w:r w:rsidRPr="00AD090F">
              <w:rPr>
                <w:rFonts w:ascii="Poppins" w:hAnsi="Poppins" w:eastAsia="Times New Roman" w:cs="Poppins"/>
                <w:bCs/>
                <w:sz w:val="20"/>
                <w:szCs w:val="20"/>
              </w:rPr>
              <w:t>Since April 2024 there has been a SNOMED code in place for presymptomatic T1D. However, awareness and use of the code is very low, therefore clinical system searches for eligible patients are unlikely to be effective.</w:t>
            </w:r>
          </w:p>
          <w:p w:rsidR="00DB72EE" w:rsidP="001B36EE" w:rsidRDefault="00DE686F" w14:paraId="064DA0C4" w14:textId="1D32B2C9">
            <w:pPr>
              <w:spacing w:after="120"/>
              <w:rPr>
                <w:rFonts w:ascii="Poppins" w:hAnsi="Poppins" w:eastAsia="Times New Roman" w:cs="Poppins"/>
                <w:bCs/>
                <w:sz w:val="20"/>
                <w:szCs w:val="20"/>
              </w:rPr>
            </w:pPr>
            <w:r w:rsidRPr="00AD090F">
              <w:rPr>
                <w:rFonts w:ascii="Poppins" w:hAnsi="Poppins" w:eastAsia="Times New Roman" w:cs="Poppins"/>
                <w:bCs/>
                <w:sz w:val="20"/>
                <w:szCs w:val="20"/>
              </w:rPr>
              <w:t xml:space="preserve">Modelling (see Appendix 2) would suggest between </w:t>
            </w:r>
            <w:r w:rsidRPr="00AD090F">
              <w:rPr>
                <w:rFonts w:ascii="Poppins" w:hAnsi="Poppins" w:eastAsia="Times New Roman" w:cs="Poppins"/>
                <w:b/>
                <w:bCs/>
                <w:sz w:val="20"/>
                <w:szCs w:val="20"/>
              </w:rPr>
              <w:t>~1 to 7 Stage 2 p</w:t>
            </w:r>
            <w:r w:rsidR="00481952">
              <w:rPr>
                <w:rFonts w:ascii="Poppins" w:hAnsi="Poppins" w:eastAsia="Times New Roman" w:cs="Poppins"/>
                <w:b/>
                <w:bCs/>
                <w:sz w:val="20"/>
                <w:szCs w:val="20"/>
              </w:rPr>
              <w:t>eople</w:t>
            </w:r>
            <w:r w:rsidRPr="00AD090F">
              <w:rPr>
                <w:rFonts w:ascii="Poppins" w:hAnsi="Poppins" w:eastAsia="Times New Roman" w:cs="Poppins"/>
                <w:b/>
                <w:bCs/>
                <w:sz w:val="20"/>
                <w:szCs w:val="20"/>
              </w:rPr>
              <w:t xml:space="preserve"> per 1 million population per year</w:t>
            </w:r>
            <w:r w:rsidRPr="00AD090F">
              <w:rPr>
                <w:rFonts w:ascii="Poppins" w:hAnsi="Poppins" w:eastAsia="Times New Roman" w:cs="Poppins"/>
                <w:bCs/>
                <w:sz w:val="20"/>
                <w:szCs w:val="20"/>
              </w:rPr>
              <w:t xml:space="preserve"> could be identified as suitable for treatment with teplizumab over the next 1-5 years, dependent on the uptake and continuation of ELSA/T1DRA studies together with the extent of first-degree relative testing locally and retesting of Stage 1 patients.</w:t>
            </w:r>
          </w:p>
          <w:p w:rsidRPr="00DB72EE" w:rsidR="00DE686F" w:rsidP="001B36EE" w:rsidRDefault="00DE686F" w14:paraId="54AAA39B" w14:textId="46BB43C7">
            <w:pPr>
              <w:spacing w:after="120"/>
              <w:rPr>
                <w:rFonts w:ascii="Poppins" w:hAnsi="Poppins" w:eastAsia="Times New Roman" w:cs="Poppins"/>
                <w:bCs/>
                <w:sz w:val="20"/>
                <w:szCs w:val="20"/>
              </w:rPr>
            </w:pPr>
            <w:r w:rsidRPr="00DE686F">
              <w:rPr>
                <w:rFonts w:ascii="Poppins" w:hAnsi="Poppins" w:eastAsia="Calibri" w:cs="Poppins"/>
                <w:color w:val="A6A6A6" w:themeColor="background1" w:themeShade="A6"/>
                <w:sz w:val="20"/>
                <w:szCs w:val="20"/>
              </w:rPr>
              <w:t>&lt;Insert numbers for your locality based on above figures per million population. If you know the number of p</w:t>
            </w:r>
            <w:r w:rsidR="00481952">
              <w:rPr>
                <w:rFonts w:ascii="Poppins" w:hAnsi="Poppins" w:eastAsia="Calibri" w:cs="Poppins"/>
                <w:color w:val="A6A6A6" w:themeColor="background1" w:themeShade="A6"/>
                <w:sz w:val="20"/>
                <w:szCs w:val="20"/>
              </w:rPr>
              <w:t>eople</w:t>
            </w:r>
            <w:r w:rsidRPr="00DE686F">
              <w:rPr>
                <w:rFonts w:ascii="Poppins" w:hAnsi="Poppins" w:eastAsia="Calibri" w:cs="Poppins"/>
                <w:color w:val="A6A6A6" w:themeColor="background1" w:themeShade="A6"/>
                <w:sz w:val="20"/>
                <w:szCs w:val="20"/>
              </w:rPr>
              <w:t xml:space="preserve"> currently referred from research studies or numbers of presymptomatic p</w:t>
            </w:r>
            <w:r w:rsidR="00481952">
              <w:rPr>
                <w:rFonts w:ascii="Poppins" w:hAnsi="Poppins" w:eastAsia="Calibri" w:cs="Poppins"/>
                <w:color w:val="A6A6A6" w:themeColor="background1" w:themeShade="A6"/>
                <w:sz w:val="20"/>
                <w:szCs w:val="20"/>
              </w:rPr>
              <w:t>eople</w:t>
            </w:r>
            <w:r w:rsidRPr="00DE686F">
              <w:rPr>
                <w:rFonts w:ascii="Poppins" w:hAnsi="Poppins" w:eastAsia="Calibri" w:cs="Poppins"/>
                <w:color w:val="A6A6A6" w:themeColor="background1" w:themeShade="A6"/>
                <w:sz w:val="20"/>
                <w:szCs w:val="20"/>
              </w:rPr>
              <w:t xml:space="preserve"> detected from first degree relative testing, include those together with any local assumptions for future uptake.&gt;</w:t>
            </w:r>
            <w:r w:rsidRPr="00AD090F">
              <w:rPr>
                <w:rFonts w:ascii="Poppins" w:hAnsi="Poppins" w:eastAsia="Calibri" w:cs="Poppins"/>
                <w:color w:val="A6A6A6" w:themeColor="background1" w:themeShade="A6"/>
                <w:sz w:val="20"/>
                <w:szCs w:val="20"/>
              </w:rPr>
              <w:t xml:space="preserve"> </w:t>
            </w:r>
          </w:p>
        </w:tc>
      </w:tr>
    </w:tbl>
    <w:p w:rsidR="00DA0225" w:rsidP="001B36EE" w:rsidRDefault="00DA0225" w14:paraId="267C715C" w14:textId="77777777">
      <w:pPr>
        <w:spacing w:line="240" w:lineRule="auto"/>
      </w:pPr>
    </w:p>
    <w:tbl>
      <w:tblPr>
        <w:tblStyle w:val="TableGrid"/>
        <w:tblW w:w="0" w:type="auto"/>
        <w:tblCellMar>
          <w:top w:w="227" w:type="dxa"/>
          <w:left w:w="284" w:type="dxa"/>
          <w:bottom w:w="227" w:type="dxa"/>
          <w:right w:w="284" w:type="dxa"/>
        </w:tblCellMar>
        <w:tblLook w:val="04A0" w:firstRow="1" w:lastRow="0" w:firstColumn="1" w:lastColumn="0" w:noHBand="0" w:noVBand="1"/>
      </w:tblPr>
      <w:tblGrid>
        <w:gridCol w:w="8630"/>
      </w:tblGrid>
      <w:tr w:rsidRPr="00C43185" w:rsidR="001D296E" w:rsidTr="00B16CC5" w14:paraId="4077EC16" w14:textId="77777777">
        <w:tc>
          <w:tcPr>
            <w:tcW w:w="8630" w:type="dxa"/>
            <w:tcBorders>
              <w:top w:val="single" w:color="0023C8" w:sz="4" w:space="0"/>
              <w:left w:val="single" w:color="0023C8" w:sz="4" w:space="0"/>
              <w:bottom w:val="nil"/>
              <w:right w:val="single" w:color="0023C8" w:sz="4" w:space="0"/>
            </w:tcBorders>
          </w:tcPr>
          <w:p w:rsidRPr="001D296E" w:rsidR="001D296E" w:rsidP="001B36EE" w:rsidRDefault="001D296E" w14:paraId="28515DE4" w14:textId="77777777">
            <w:pPr>
              <w:pStyle w:val="Heading2"/>
              <w:spacing w:before="0" w:after="120"/>
              <w:rPr>
                <w:rFonts w:ascii="Poppins" w:hAnsi="Poppins" w:cs="Poppins"/>
                <w:color w:val="0023C8"/>
              </w:rPr>
            </w:pPr>
            <w:bookmarkStart w:name="_Toc229391534" w:id="13"/>
            <w:r w:rsidRPr="001D296E">
              <w:rPr>
                <w:rFonts w:ascii="Poppins" w:hAnsi="Poppins" w:cs="Poppins"/>
                <w:color w:val="0023C8"/>
              </w:rPr>
              <w:t>3.3 Proposed service model</w:t>
            </w:r>
            <w:bookmarkEnd w:id="13"/>
          </w:p>
          <w:p w:rsidRPr="001D296E" w:rsidR="001D296E" w:rsidP="001B36EE" w:rsidRDefault="001D296E" w14:paraId="548BB0E5" w14:textId="77777777">
            <w:pPr>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&lt;Detail how you propose you will deliver a teplizumab infusion service in your Trust. Below is a table with suggestions for information you may wish to provide to support your case. Delivery costs will be covered in section 4) financial case.</w:t>
            </w:r>
          </w:p>
          <w:p w:rsidRPr="001D296E" w:rsidR="001D296E" w:rsidP="001B36EE" w:rsidRDefault="001D296E" w14:paraId="0E0E1C75" w14:textId="77777777">
            <w:pPr>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Describe the benefits of your chosen model over alternative models including consideration of:</w:t>
            </w:r>
          </w:p>
          <w:p w:rsidRPr="001D296E" w:rsidR="001D296E" w:rsidP="001B36EE" w:rsidRDefault="001D296E" w14:paraId="752DCB37" w14:textId="45378799">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Where will the service be delivered? Will it be Trust based or include homecare?</w:t>
            </w:r>
            <w:r w:rsidR="009158D8">
              <w:rPr>
                <w:rFonts w:ascii="Poppins" w:hAnsi="Poppins" w:eastAsia="Calibri" w:cs="Poppins"/>
                <w:color w:val="A6A6A6" w:themeColor="background1" w:themeShade="A6"/>
                <w:sz w:val="20"/>
                <w:szCs w:val="20"/>
              </w:rPr>
              <w:t xml:space="preserve"> If homecare is being considered, please speak to your Sanofi representative regarding this </w:t>
            </w:r>
          </w:p>
          <w:p w:rsidRPr="001D296E" w:rsidR="001D296E" w:rsidP="001B36EE" w:rsidRDefault="001D296E" w14:paraId="78D9F1F1" w14:textId="2D2064E1">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Will p</w:t>
            </w:r>
            <w:r w:rsidR="00481952">
              <w:rPr>
                <w:rFonts w:ascii="Poppins" w:hAnsi="Poppins" w:eastAsia="Calibri" w:cs="Poppins"/>
                <w:color w:val="A6A6A6" w:themeColor="background1" w:themeShade="A6"/>
                <w:sz w:val="20"/>
                <w:szCs w:val="20"/>
              </w:rPr>
              <w:t>eople</w:t>
            </w:r>
            <w:r w:rsidRPr="001D296E">
              <w:rPr>
                <w:rFonts w:ascii="Poppins" w:hAnsi="Poppins" w:eastAsia="Calibri" w:cs="Poppins"/>
                <w:color w:val="A6A6A6" w:themeColor="background1" w:themeShade="A6"/>
                <w:sz w:val="20"/>
                <w:szCs w:val="20"/>
              </w:rPr>
              <w:t xml:space="preserve"> accessing the service be from within your ICS or from a wider footprint?</w:t>
            </w:r>
          </w:p>
          <w:p w:rsidRPr="001D296E" w:rsidR="001D296E" w:rsidP="001B36EE" w:rsidRDefault="001D296E" w14:paraId="5C239938" w14:textId="1B4CBD30">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Will you utilise existing infusion units? Do they have capacity</w:t>
            </w:r>
            <w:r w:rsidR="00AC56C3">
              <w:rPr>
                <w:rFonts w:ascii="Poppins" w:hAnsi="Poppins" w:eastAsia="Calibri" w:cs="Poppins"/>
                <w:color w:val="A6A6A6" w:themeColor="background1" w:themeShade="A6"/>
                <w:sz w:val="20"/>
                <w:szCs w:val="20"/>
              </w:rPr>
              <w:t xml:space="preserve"> and capability</w:t>
            </w:r>
            <w:r w:rsidRPr="001D296E">
              <w:rPr>
                <w:rFonts w:ascii="Poppins" w:hAnsi="Poppins" w:eastAsia="Calibri" w:cs="Poppins"/>
                <w:color w:val="A6A6A6" w:themeColor="background1" w:themeShade="A6"/>
                <w:sz w:val="20"/>
                <w:szCs w:val="20"/>
              </w:rPr>
              <w:t xml:space="preserve"> to deliver 14-day infusions?</w:t>
            </w:r>
          </w:p>
          <w:p w:rsidRPr="001D296E" w:rsidR="001D296E" w:rsidP="001B36EE" w:rsidRDefault="001D296E" w14:paraId="5CB9DE1F" w14:textId="77777777">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Staffing and competency</w:t>
            </w:r>
          </w:p>
          <w:p w:rsidRPr="001D296E" w:rsidR="001D296E" w:rsidP="001B36EE" w:rsidRDefault="001D296E" w14:paraId="618B30DD" w14:textId="77777777">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Clinical protocols and pathways</w:t>
            </w:r>
          </w:p>
          <w:p w:rsidR="001D296E" w:rsidP="001B36EE" w:rsidRDefault="001D296E" w14:paraId="33DE73D0" w14:textId="21CE8C46">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Risk and contingency</w:t>
            </w:r>
            <w:r w:rsidR="004469CD">
              <w:rPr>
                <w:rFonts w:ascii="Poppins" w:hAnsi="Poppins" w:eastAsia="Calibri" w:cs="Poppins"/>
                <w:color w:val="A6A6A6" w:themeColor="background1" w:themeShade="A6"/>
                <w:sz w:val="20"/>
                <w:szCs w:val="20"/>
              </w:rPr>
              <w:t>, e.g., on-call general medical team involvement</w:t>
            </w:r>
          </w:p>
          <w:p w:rsidRPr="001D296E" w:rsidR="001D296E" w:rsidP="001B36EE" w:rsidRDefault="001D296E" w14:paraId="5364A341" w14:textId="77777777">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Equity of access</w:t>
            </w:r>
          </w:p>
          <w:p w:rsidRPr="001D296E" w:rsidR="001D296E" w:rsidP="001B36EE" w:rsidRDefault="001D296E" w14:paraId="56D7E887" w14:textId="77777777">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Alignment with current care pathways</w:t>
            </w:r>
          </w:p>
          <w:p w:rsidRPr="001D296E" w:rsidR="001D296E" w:rsidP="001B36EE" w:rsidRDefault="001D296E" w14:paraId="00405E8D" w14:textId="61F52F03">
            <w:pPr>
              <w:pStyle w:val="ListParagraph"/>
              <w:numPr>
                <w:ilvl w:val="0"/>
                <w:numId w:val="16"/>
              </w:numPr>
              <w:spacing w:after="60"/>
              <w:ind w:left="357" w:hanging="357"/>
              <w:contextualSpacing w:val="0"/>
              <w:rPr>
                <w:rFonts w:ascii="Poppins" w:hAnsi="Poppins" w:eastAsia="Calibri" w:cs="Poppins"/>
                <w:color w:val="A6A6A6" w:themeColor="background1" w:themeShade="A6"/>
                <w:sz w:val="20"/>
                <w:szCs w:val="20"/>
              </w:rPr>
            </w:pPr>
            <w:r w:rsidRPr="001D296E">
              <w:rPr>
                <w:rFonts w:ascii="Poppins" w:hAnsi="Poppins" w:eastAsia="Calibri" w:cs="Poppins"/>
                <w:color w:val="A6A6A6" w:themeColor="background1" w:themeShade="A6"/>
                <w:sz w:val="20"/>
                <w:szCs w:val="20"/>
              </w:rPr>
              <w:t>Operational and logistical challenges and how you aim to deal with them&gt;</w:t>
            </w:r>
          </w:p>
        </w:tc>
      </w:tr>
      <w:tr w:rsidRPr="00C43185" w:rsidR="00C90722" w:rsidTr="00DB72EE" w14:paraId="39B8162F" w14:textId="77777777">
        <w:tc>
          <w:tcPr>
            <w:tcW w:w="8630" w:type="dxa"/>
            <w:tcBorders>
              <w:top w:val="nil"/>
              <w:left w:val="single" w:color="0023C8" w:sz="4" w:space="0"/>
              <w:bottom w:val="nil"/>
              <w:right w:val="single" w:color="0023C8" w:sz="4" w:space="0"/>
            </w:tcBorders>
          </w:tcPr>
          <w:tbl>
            <w:tblPr>
              <w:tblStyle w:val="TableGrid"/>
              <w:tblW w:w="0" w:type="auto"/>
              <w:tblBorders>
                <w:top w:val="none" w:color="auto" w:sz="0" w:space="0"/>
                <w:left w:val="none" w:color="auto" w:sz="0" w:space="0"/>
                <w:bottom w:val="none" w:color="auto" w:sz="0" w:space="0"/>
                <w:right w:val="none" w:color="auto" w:sz="0" w:space="0"/>
                <w:insideH w:val="single" w:color="FFFFFF" w:themeColor="background1" w:sz="4" w:space="0"/>
                <w:insideV w:val="none" w:color="auto" w:sz="0" w:space="0"/>
              </w:tblBorders>
              <w:tblCellMar>
                <w:top w:w="57" w:type="dxa"/>
                <w:bottom w:w="57" w:type="dxa"/>
              </w:tblCellMar>
              <w:tblLook w:val="04A0" w:firstRow="1" w:lastRow="0" w:firstColumn="1" w:lastColumn="0" w:noHBand="0" w:noVBand="1"/>
            </w:tblPr>
            <w:tblGrid>
              <w:gridCol w:w="2324"/>
              <w:gridCol w:w="5726"/>
            </w:tblGrid>
            <w:tr w:rsidRPr="00C43185" w:rsidR="00B16CC5" w:rsidTr="001B36EE" w14:paraId="4D653DFB" w14:textId="77777777">
              <w:trPr>
                <w:trHeight w:val="296"/>
              </w:trPr>
              <w:tc>
                <w:tcPr>
                  <w:tcW w:w="2324" w:type="dxa"/>
                  <w:tcBorders>
                    <w:top w:val="nil"/>
                    <w:bottom w:val="single" w:color="FFFFFF" w:themeColor="background1" w:sz="18" w:space="0"/>
                  </w:tcBorders>
                  <w:shd w:val="clear" w:color="auto" w:fill="0096FF"/>
                  <w:vAlign w:val="center"/>
                </w:tcPr>
                <w:p w:rsidRPr="00DB72EE" w:rsidR="00A12E0E" w:rsidP="001B36EE" w:rsidRDefault="00302771" w14:paraId="26574B58" w14:textId="273472EA">
                  <w:pPr>
                    <w:rPr>
                      <w:rFonts w:ascii="Poppins" w:hAnsi="Poppins" w:eastAsia="Calibri" w:cs="Poppins"/>
                      <w:b/>
                      <w:bCs/>
                      <w:color w:val="FFFFFF" w:themeColor="background1"/>
                    </w:rPr>
                  </w:pPr>
                  <w:r w:rsidRPr="00DB72EE">
                    <w:rPr>
                      <w:rFonts w:ascii="Poppins" w:hAnsi="Poppins" w:eastAsia="Calibri" w:cs="Poppins"/>
                      <w:b/>
                      <w:bCs/>
                      <w:color w:val="FFFFFF" w:themeColor="background1"/>
                    </w:rPr>
                    <w:t>Service element</w:t>
                  </w:r>
                </w:p>
              </w:tc>
              <w:tc>
                <w:tcPr>
                  <w:tcW w:w="5726" w:type="dxa"/>
                  <w:tcBorders>
                    <w:top w:val="nil"/>
                    <w:bottom w:val="single" w:color="FFFFFF" w:themeColor="background1" w:sz="18" w:space="0"/>
                  </w:tcBorders>
                  <w:shd w:val="clear" w:color="auto" w:fill="0096FF"/>
                  <w:vAlign w:val="center"/>
                </w:tcPr>
                <w:p w:rsidRPr="00DB72EE" w:rsidR="00302771" w:rsidP="001B36EE" w:rsidRDefault="00302771" w14:paraId="7DF2243D" w14:textId="4C9DA519">
                  <w:pPr>
                    <w:jc w:val="center"/>
                    <w:rPr>
                      <w:rFonts w:ascii="Poppins" w:hAnsi="Poppins" w:eastAsia="Calibri" w:cs="Poppins"/>
                      <w:b/>
                      <w:bCs/>
                      <w:color w:val="FFFFFF" w:themeColor="background1"/>
                    </w:rPr>
                  </w:pPr>
                  <w:r w:rsidRPr="00DB72EE">
                    <w:rPr>
                      <w:rFonts w:ascii="Poppins" w:hAnsi="Poppins" w:eastAsia="Calibri" w:cs="Poppins"/>
                      <w:b/>
                      <w:bCs/>
                      <w:color w:val="FFFFFF" w:themeColor="background1"/>
                    </w:rPr>
                    <w:t>Considerations</w:t>
                  </w:r>
                </w:p>
              </w:tc>
            </w:tr>
            <w:tr w:rsidRPr="00C43185" w:rsidR="00102802" w:rsidTr="001B36EE" w14:paraId="52C8D8B2" w14:textId="77777777">
              <w:tc>
                <w:tcPr>
                  <w:tcW w:w="2324" w:type="dxa"/>
                  <w:tcBorders>
                    <w:top w:val="single" w:color="FFFFFF" w:themeColor="background1" w:sz="18" w:space="0"/>
                  </w:tcBorders>
                  <w:shd w:val="clear" w:color="auto" w:fill="A4D6EF"/>
                </w:tcPr>
                <w:p w:rsidRPr="00E90712" w:rsidR="00102802" w:rsidP="001B36EE" w:rsidRDefault="00102802" w14:paraId="2C3EFFDE" w14:textId="409ECFB9">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How will TZIELD be accepted for use on formularies?</w:t>
                  </w:r>
                </w:p>
              </w:tc>
              <w:tc>
                <w:tcPr>
                  <w:tcW w:w="5726" w:type="dxa"/>
                  <w:tcBorders>
                    <w:top w:val="single" w:color="FFFFFF" w:themeColor="background1" w:sz="18" w:space="0"/>
                    <w:bottom w:val="single" w:color="D9D9D9" w:themeColor="background1" w:themeShade="D9" w:sz="4" w:space="0"/>
                  </w:tcBorders>
                  <w:shd w:val="clear" w:color="auto" w:fill="F2F2F2" w:themeFill="background1" w:themeFillShade="F2"/>
                </w:tcPr>
                <w:p w:rsidRPr="00DB72EE" w:rsidR="00102802" w:rsidP="001B36EE" w:rsidRDefault="00102802" w14:paraId="1AB7374D" w14:textId="77777777">
                  <w:pPr>
                    <w:pStyle w:val="ListParagraph"/>
                    <w:numPr>
                      <w:ilvl w:val="0"/>
                      <w:numId w:val="17"/>
                    </w:numPr>
                    <w:spacing w:after="60"/>
                    <w:ind w:left="360"/>
                    <w:contextualSpacing w:val="0"/>
                    <w:rPr>
                      <w:rFonts w:ascii="Poppins" w:hAnsi="Poppins" w:eastAsia="Calibri" w:cs="Poppins"/>
                      <w:color w:val="000000" w:themeColor="text1"/>
                      <w:sz w:val="20"/>
                      <w:szCs w:val="20"/>
                      <w:lang w:val="en-GB"/>
                    </w:rPr>
                  </w:pPr>
                  <w:r w:rsidRPr="00DB72EE">
                    <w:rPr>
                      <w:rFonts w:ascii="Poppins" w:hAnsi="Poppins" w:eastAsia="Calibri" w:cs="Poppins"/>
                      <w:color w:val="000000" w:themeColor="text1"/>
                      <w:sz w:val="20"/>
                      <w:szCs w:val="20"/>
                      <w:lang w:val="en-GB"/>
                    </w:rPr>
                    <w:t xml:space="preserve">How </w:t>
                  </w:r>
                  <w:r w:rsidRPr="00DB72EE" w:rsidR="00A849AB">
                    <w:rPr>
                      <w:rFonts w:ascii="Poppins" w:hAnsi="Poppins" w:eastAsia="Calibri" w:cs="Poppins"/>
                      <w:color w:val="000000" w:themeColor="text1"/>
                      <w:sz w:val="20"/>
                      <w:szCs w:val="20"/>
                      <w:lang w:val="en-GB"/>
                    </w:rPr>
                    <w:t>will your formulary inclusion process or evidence submission differ pre- and post- a positive NICE TA for TZIELD?</w:t>
                  </w:r>
                </w:p>
                <w:p w:rsidRPr="00DB72EE" w:rsidR="00A849AB" w:rsidP="001B36EE" w:rsidRDefault="00A849AB" w14:paraId="4BE64ED3" w14:textId="20827264">
                  <w:pPr>
                    <w:pStyle w:val="ListParagraph"/>
                    <w:numPr>
                      <w:ilvl w:val="0"/>
                      <w:numId w:val="17"/>
                    </w:numPr>
                    <w:spacing w:after="60"/>
                    <w:ind w:left="360"/>
                    <w:contextualSpacing w:val="0"/>
                    <w:rPr>
                      <w:rFonts w:ascii="Poppins" w:hAnsi="Poppins" w:eastAsia="Calibri" w:cs="Poppins"/>
                      <w:color w:val="000000" w:themeColor="text1"/>
                      <w:sz w:val="20"/>
                      <w:szCs w:val="20"/>
                      <w:lang w:val="en-GB"/>
                    </w:rPr>
                  </w:pPr>
                  <w:r w:rsidRPr="00DB72EE">
                    <w:rPr>
                      <w:rFonts w:ascii="Poppins" w:hAnsi="Poppins" w:eastAsia="Calibri" w:cs="Poppins"/>
                      <w:color w:val="000000" w:themeColor="text1"/>
                      <w:sz w:val="20"/>
                      <w:szCs w:val="20"/>
                      <w:lang w:val="en-GB"/>
                    </w:rPr>
                    <w:t>Include details in the business case around the stage of TZIELD formulary submission with expected date of addition to formulary, (if not already approved) and when it will be available to prescribe, e.g., on prescribing systems and in stock</w:t>
                  </w:r>
                </w:p>
                <w:p w:rsidRPr="00DB72EE" w:rsidR="00A849AB" w:rsidP="001B36EE" w:rsidRDefault="00A849AB" w14:paraId="07EAB906" w14:textId="545068A8">
                  <w:pPr>
                    <w:pStyle w:val="ListParagraph"/>
                    <w:spacing w:after="60"/>
                    <w:ind w:left="360"/>
                    <w:contextualSpacing w:val="0"/>
                    <w:rPr>
                      <w:rFonts w:ascii="Poppins" w:hAnsi="Poppins" w:eastAsia="Calibri" w:cs="Poppins"/>
                      <w:color w:val="000000" w:themeColor="text1"/>
                      <w:sz w:val="20"/>
                      <w:szCs w:val="20"/>
                      <w:lang w:val="en-GB"/>
                    </w:rPr>
                  </w:pPr>
                </w:p>
              </w:tc>
            </w:tr>
            <w:tr w:rsidRPr="00C43185" w:rsidR="00A12E0E" w:rsidTr="001B36EE" w14:paraId="11BF5069" w14:textId="77777777">
              <w:tc>
                <w:tcPr>
                  <w:tcW w:w="2324" w:type="dxa"/>
                  <w:shd w:val="clear" w:color="auto" w:fill="A4D6EF"/>
                </w:tcPr>
                <w:p w:rsidRPr="00E90712" w:rsidR="00A12E0E" w:rsidP="001B36EE" w:rsidRDefault="00302771" w14:paraId="21F509D7"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Where will the service be delivered?</w:t>
                  </w:r>
                </w:p>
                <w:p w:rsidRPr="00E90712" w:rsidR="003B1F95" w:rsidP="001B36EE" w:rsidRDefault="003B1F95" w14:paraId="7B1E5351" w14:textId="77777777">
                  <w:pPr>
                    <w:spacing w:after="60"/>
                    <w:rPr>
                      <w:rFonts w:ascii="Poppins" w:hAnsi="Poppins" w:eastAsia="Calibri" w:cs="Poppins"/>
                      <w:b/>
                      <w:bCs/>
                      <w:color w:val="0023C8"/>
                      <w:sz w:val="20"/>
                      <w:szCs w:val="20"/>
                    </w:rPr>
                  </w:pPr>
                </w:p>
                <w:p w:rsidRPr="00E90712" w:rsidR="00302771" w:rsidP="001B36EE" w:rsidRDefault="003B1F95" w14:paraId="4007AFE8" w14:textId="32FDBEDA">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Will p</w:t>
                  </w:r>
                  <w:r w:rsidR="00481952">
                    <w:rPr>
                      <w:rFonts w:ascii="Poppins" w:hAnsi="Poppins" w:eastAsia="Calibri" w:cs="Poppins"/>
                      <w:b/>
                      <w:bCs/>
                      <w:color w:val="0023C8"/>
                      <w:sz w:val="20"/>
                      <w:szCs w:val="20"/>
                    </w:rPr>
                    <w:t>eople</w:t>
                  </w:r>
                  <w:r w:rsidRPr="00E90712">
                    <w:rPr>
                      <w:rFonts w:ascii="Poppins" w:hAnsi="Poppins" w:eastAsia="Calibri" w:cs="Poppins"/>
                      <w:b/>
                      <w:bCs/>
                      <w:color w:val="0023C8"/>
                      <w:sz w:val="20"/>
                      <w:szCs w:val="20"/>
                    </w:rPr>
                    <w:t xml:space="preserve"> accessing the service be from </w:t>
                  </w:r>
                  <w:r w:rsidRPr="00E90712">
                    <w:rPr>
                      <w:rFonts w:ascii="Poppins" w:hAnsi="Poppins" w:eastAsia="Calibri" w:cs="Poppins"/>
                      <w:b/>
                      <w:bCs/>
                      <w:color w:val="0023C8"/>
                      <w:sz w:val="20"/>
                      <w:szCs w:val="20"/>
                    </w:rPr>
                    <w:t>within your ICS or from a wider footprint?</w:t>
                  </w: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DB72EE" w:rsidR="00A12E0E" w:rsidP="001B36EE" w:rsidRDefault="00302771" w14:paraId="0E990202" w14:textId="77777777">
                  <w:pPr>
                    <w:pStyle w:val="ListParagraph"/>
                    <w:numPr>
                      <w:ilvl w:val="0"/>
                      <w:numId w:val="17"/>
                    </w:numPr>
                    <w:spacing w:after="60"/>
                    <w:ind w:left="360"/>
                    <w:contextualSpacing w:val="0"/>
                    <w:rPr>
                      <w:rFonts w:ascii="Poppins" w:hAnsi="Poppins" w:eastAsia="Calibri" w:cs="Poppins"/>
                      <w:color w:val="000000" w:themeColor="text1"/>
                      <w:sz w:val="20"/>
                      <w:szCs w:val="20"/>
                      <w:lang w:val="en-GB"/>
                    </w:rPr>
                  </w:pPr>
                  <w:r w:rsidRPr="00DB72EE">
                    <w:rPr>
                      <w:rFonts w:ascii="Poppins" w:hAnsi="Poppins" w:eastAsia="Calibri" w:cs="Poppins"/>
                      <w:color w:val="000000" w:themeColor="text1"/>
                      <w:sz w:val="20"/>
                      <w:szCs w:val="20"/>
                      <w:lang w:val="en-GB"/>
                    </w:rPr>
                    <w:t>A variety of delivery models might be adopted depending on regions and/or interest of clinical teams, e.g., whole service based at specialist centres; detection and decision to treat at a spoke with infusion and ongoing monitoring at a hub</w:t>
                  </w:r>
                </w:p>
                <w:p w:rsidRPr="00DB72EE" w:rsidR="00302771" w:rsidP="001B36EE" w:rsidRDefault="00302771" w14:paraId="67A65697" w14:textId="1F04C9DC">
                  <w:pPr>
                    <w:pStyle w:val="ListParagraph"/>
                    <w:numPr>
                      <w:ilvl w:val="0"/>
                      <w:numId w:val="17"/>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Separating</w:t>
                  </w:r>
                  <w:r w:rsidRPr="00DB72EE" w:rsidR="0001040A">
                    <w:rPr>
                      <w:rFonts w:ascii="Poppins" w:hAnsi="Poppins" w:eastAsia="Calibri" w:cs="Poppins"/>
                      <w:color w:val="000000" w:themeColor="text1"/>
                      <w:sz w:val="20"/>
                      <w:szCs w:val="20"/>
                      <w:lang w:val="en-GB"/>
                    </w:rPr>
                    <w:t xml:space="preserve"> detection</w:t>
                  </w:r>
                  <w:r w:rsidRPr="00DB72EE">
                    <w:rPr>
                      <w:rFonts w:ascii="Poppins" w:hAnsi="Poppins" w:eastAsia="Calibri" w:cs="Poppins"/>
                      <w:color w:val="000000" w:themeColor="text1"/>
                      <w:sz w:val="20"/>
                      <w:szCs w:val="20"/>
                      <w:lang w:val="en-GB"/>
                    </w:rPr>
                    <w:t xml:space="preserve"> from infusion may allow flexibility for emerging therapies  </w:t>
                  </w:r>
                </w:p>
                <w:p w:rsidRPr="00DB72EE" w:rsidR="00302771" w:rsidP="001B36EE" w:rsidRDefault="00302771" w14:paraId="01F43C70" w14:textId="45AF6DCC">
                  <w:pPr>
                    <w:pStyle w:val="ListParagraph"/>
                    <w:numPr>
                      <w:ilvl w:val="0"/>
                      <w:numId w:val="17"/>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Use of mobile infusion units may mitigate infrastructure issues but requires capital investment</w:t>
                  </w:r>
                </w:p>
              </w:tc>
            </w:tr>
            <w:tr w:rsidRPr="00C43185" w:rsidR="00A12E0E" w:rsidTr="001B36EE" w14:paraId="0025632D" w14:textId="77777777">
              <w:tc>
                <w:tcPr>
                  <w:tcW w:w="2324" w:type="dxa"/>
                  <w:shd w:val="clear" w:color="auto" w:fill="A4D6EF"/>
                </w:tcPr>
                <w:p w:rsidRPr="00E90712" w:rsidR="003B1F95" w:rsidP="001B36EE" w:rsidRDefault="003B1F95" w14:paraId="3E38D770"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Will you utilise existing infusion units? Do they have capacity to deliver 14-day infusions?</w:t>
                  </w:r>
                </w:p>
                <w:p w:rsidRPr="00E90712" w:rsidR="00A12E0E" w:rsidP="001B36EE" w:rsidRDefault="00A12E0E" w14:paraId="737C76B4" w14:textId="77777777">
                  <w:pPr>
                    <w:spacing w:after="60"/>
                    <w:rPr>
                      <w:rFonts w:ascii="Poppins" w:hAnsi="Poppins" w:eastAsia="Calibri" w:cs="Poppins"/>
                      <w:b/>
                      <w:bCs/>
                      <w:color w:val="0023C8"/>
                      <w:sz w:val="20"/>
                      <w:szCs w:val="20"/>
                    </w:rPr>
                  </w:pP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DB72EE" w:rsidR="00A12E0E" w:rsidP="001B36EE" w:rsidRDefault="003B1F95" w14:paraId="40FFD7C3" w14:textId="63FFB21C">
                  <w:pPr>
                    <w:pStyle w:val="ListParagraph"/>
                    <w:numPr>
                      <w:ilvl w:val="0"/>
                      <w:numId w:val="18"/>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Utilising existing infusion units provides access to staff experienced in delivering monoclonal antibodies. However, these units </w:t>
                  </w:r>
                  <w:r w:rsidRPr="00DB72EE" w:rsidR="00620345">
                    <w:rPr>
                      <w:rFonts w:ascii="Poppins" w:hAnsi="Poppins" w:eastAsia="Calibri" w:cs="Poppins"/>
                      <w:color w:val="000000" w:themeColor="text1"/>
                      <w:sz w:val="20"/>
                      <w:szCs w:val="20"/>
                      <w:lang w:val="en-GB"/>
                    </w:rPr>
                    <w:t xml:space="preserve">may </w:t>
                  </w:r>
                  <w:r w:rsidRPr="00DB72EE">
                    <w:rPr>
                      <w:rFonts w:ascii="Poppins" w:hAnsi="Poppins" w:eastAsia="Calibri" w:cs="Poppins"/>
                      <w:color w:val="000000" w:themeColor="text1"/>
                      <w:sz w:val="20"/>
                      <w:szCs w:val="20"/>
                      <w:lang w:val="en-GB"/>
                    </w:rPr>
                    <w:t xml:space="preserve">already </w:t>
                  </w:r>
                  <w:r w:rsidRPr="00DB72EE" w:rsidR="00620345">
                    <w:rPr>
                      <w:rFonts w:ascii="Poppins" w:hAnsi="Poppins" w:eastAsia="Calibri" w:cs="Poppins"/>
                      <w:color w:val="000000" w:themeColor="text1"/>
                      <w:sz w:val="20"/>
                      <w:szCs w:val="20"/>
                      <w:lang w:val="en-GB"/>
                    </w:rPr>
                    <w:t xml:space="preserve">be </w:t>
                  </w:r>
                  <w:r w:rsidRPr="00DB72EE">
                    <w:rPr>
                      <w:rFonts w:ascii="Poppins" w:hAnsi="Poppins" w:eastAsia="Calibri" w:cs="Poppins"/>
                      <w:color w:val="000000" w:themeColor="text1"/>
                      <w:sz w:val="20"/>
                      <w:szCs w:val="20"/>
                      <w:lang w:val="en-GB"/>
                    </w:rPr>
                    <w:t>experiencing capacity issues</w:t>
                  </w:r>
                  <w:r w:rsidRPr="00DB72EE" w:rsidR="009158D8">
                    <w:rPr>
                      <w:rFonts w:ascii="Poppins" w:hAnsi="Poppins" w:eastAsia="Calibri" w:cs="Poppins"/>
                      <w:color w:val="000000" w:themeColor="text1"/>
                      <w:sz w:val="20"/>
                      <w:szCs w:val="20"/>
                      <w:lang w:val="en-GB"/>
                    </w:rPr>
                    <w:t xml:space="preserve"> due to other conditions competing for bed space, and 14-day infusion periods may exacerbate this</w:t>
                  </w:r>
                </w:p>
                <w:p w:rsidRPr="00DB72EE" w:rsidR="00124B81" w:rsidP="001B36EE" w:rsidRDefault="00E715E0" w14:paraId="08E2CED4" w14:textId="7613FC8E">
                  <w:pPr>
                    <w:pStyle w:val="ListParagraph"/>
                    <w:numPr>
                      <w:ilvl w:val="0"/>
                      <w:numId w:val="18"/>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Lack of capacity in existing infusion units together with need for weekend provision require new models of working to be developed with associated infrastructure and funding issues. </w:t>
                  </w:r>
                  <w:r w:rsidRPr="00DB72EE" w:rsidR="003B1F95">
                    <w:rPr>
                      <w:rFonts w:ascii="Poppins" w:hAnsi="Poppins" w:eastAsia="Calibri" w:cs="Poppins"/>
                      <w:color w:val="000000" w:themeColor="text1"/>
                      <w:sz w:val="20"/>
                      <w:szCs w:val="20"/>
                    </w:rPr>
                    <w:t>Have you engaged with infusion service leads to gain agreement on the feasibility of delivering 14-day infusions?</w:t>
                  </w:r>
                </w:p>
              </w:tc>
            </w:tr>
            <w:tr w:rsidRPr="00C43185" w:rsidR="00A12E0E" w:rsidTr="001B36EE" w14:paraId="245ABA6A" w14:textId="77777777">
              <w:tc>
                <w:tcPr>
                  <w:tcW w:w="2324" w:type="dxa"/>
                  <w:shd w:val="clear" w:color="auto" w:fill="A4D6EF"/>
                </w:tcPr>
                <w:p w:rsidRPr="00E90712" w:rsidR="003B1F95" w:rsidP="001B36EE" w:rsidRDefault="003B1F95" w14:paraId="0B1C9EF3"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Staffing and competency</w:t>
                  </w:r>
                </w:p>
                <w:p w:rsidRPr="00E90712" w:rsidR="00A12E0E" w:rsidP="001B36EE" w:rsidRDefault="00A12E0E" w14:paraId="355A65C1" w14:textId="77777777">
                  <w:pPr>
                    <w:spacing w:after="60"/>
                    <w:rPr>
                      <w:rFonts w:ascii="Poppins" w:hAnsi="Poppins" w:eastAsia="Calibri" w:cs="Poppins"/>
                      <w:b/>
                      <w:bCs/>
                      <w:color w:val="0023C8"/>
                      <w:sz w:val="20"/>
                      <w:szCs w:val="20"/>
                    </w:rPr>
                  </w:pP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C62CA5" w:rsidR="00A12E0E" w:rsidP="001B36EE" w:rsidRDefault="00124B81" w14:paraId="0F2CC850" w14:textId="07175EBE">
                  <w:pPr>
                    <w:pStyle w:val="ListParagraph"/>
                    <w:numPr>
                      <w:ilvl w:val="0"/>
                      <w:numId w:val="20"/>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Nurses trained in delivering infusions would be required to administer </w:t>
                  </w:r>
                  <w:r w:rsidRPr="00DB72EE" w:rsidR="00007BC7">
                    <w:rPr>
                      <w:rFonts w:ascii="Poppins" w:hAnsi="Poppins" w:eastAsia="Calibri" w:cs="Poppins"/>
                      <w:color w:val="000000" w:themeColor="text1"/>
                      <w:sz w:val="20"/>
                      <w:szCs w:val="20"/>
                      <w:lang w:val="en-GB"/>
                    </w:rPr>
                    <w:t>teplizumab</w:t>
                  </w:r>
                  <w:r w:rsidRPr="00DB72EE">
                    <w:rPr>
                      <w:rFonts w:ascii="Poppins" w:hAnsi="Poppins" w:eastAsia="Calibri" w:cs="Poppins"/>
                      <w:color w:val="000000" w:themeColor="text1"/>
                      <w:sz w:val="20"/>
                      <w:szCs w:val="20"/>
                      <w:lang w:val="en-GB"/>
                    </w:rPr>
                    <w:t xml:space="preserve"> rather than diabetes </w:t>
                  </w:r>
                  <w:r w:rsidRPr="00DB72EE" w:rsidR="004469CD">
                    <w:rPr>
                      <w:rFonts w:ascii="Poppins" w:hAnsi="Poppins" w:eastAsia="Calibri" w:cs="Poppins"/>
                      <w:color w:val="000000" w:themeColor="text1"/>
                      <w:sz w:val="20"/>
                      <w:szCs w:val="20"/>
                      <w:lang w:val="en-GB"/>
                    </w:rPr>
                    <w:t xml:space="preserve">specialist </w:t>
                  </w:r>
                  <w:r w:rsidRPr="00DB72EE">
                    <w:rPr>
                      <w:rFonts w:ascii="Poppins" w:hAnsi="Poppins" w:eastAsia="Calibri" w:cs="Poppins"/>
                      <w:color w:val="000000" w:themeColor="text1"/>
                      <w:sz w:val="20"/>
                      <w:szCs w:val="20"/>
                      <w:lang w:val="en-GB"/>
                    </w:rPr>
                    <w:t>nurses</w:t>
                  </w:r>
                  <w:r w:rsidR="00430C78">
                    <w:rPr>
                      <w:rFonts w:ascii="Poppins" w:hAnsi="Poppins" w:eastAsia="Calibri" w:cs="Poppins"/>
                      <w:color w:val="000000" w:themeColor="text1"/>
                      <w:sz w:val="20"/>
                      <w:szCs w:val="20"/>
                      <w:lang w:val="en-GB"/>
                    </w:rPr>
                    <w:t xml:space="preserve">. They could be </w:t>
                  </w:r>
                  <w:r w:rsidRPr="00DB72EE">
                    <w:rPr>
                      <w:rFonts w:ascii="Poppins" w:hAnsi="Poppins" w:eastAsia="Calibri" w:cs="Poppins"/>
                      <w:color w:val="000000" w:themeColor="text1"/>
                      <w:sz w:val="20"/>
                      <w:szCs w:val="20"/>
                      <w:lang w:val="en-GB"/>
                    </w:rPr>
                    <w:t>train</w:t>
                  </w:r>
                  <w:r w:rsidR="00430C78">
                    <w:rPr>
                      <w:rFonts w:ascii="Poppins" w:hAnsi="Poppins" w:eastAsia="Calibri" w:cs="Poppins"/>
                      <w:color w:val="000000" w:themeColor="text1"/>
                      <w:sz w:val="20"/>
                      <w:szCs w:val="20"/>
                      <w:lang w:val="en-GB"/>
                    </w:rPr>
                    <w:t>ed to deliver teplizumab with appropriate support from specialist diabetes nurses</w:t>
                  </w:r>
                </w:p>
                <w:p w:rsidRPr="00DB72EE" w:rsidR="00C62CA5" w:rsidP="001B36EE" w:rsidRDefault="00C62CA5" w14:paraId="791294F6" w14:textId="36D4E924">
                  <w:pPr>
                    <w:pStyle w:val="ListParagraph"/>
                    <w:numPr>
                      <w:ilvl w:val="0"/>
                      <w:numId w:val="20"/>
                    </w:numPr>
                    <w:spacing w:after="60"/>
                    <w:ind w:left="360"/>
                    <w:contextualSpacing w:val="0"/>
                    <w:rPr>
                      <w:rFonts w:ascii="Poppins" w:hAnsi="Poppins" w:eastAsia="Calibri" w:cs="Poppins"/>
                      <w:color w:val="000000" w:themeColor="text1"/>
                      <w:sz w:val="20"/>
                      <w:szCs w:val="20"/>
                    </w:rPr>
                  </w:pPr>
                  <w:r>
                    <w:rPr>
                      <w:rFonts w:ascii="Poppins" w:hAnsi="Poppins" w:eastAsia="Calibri" w:cs="Poppins"/>
                      <w:color w:val="000000" w:themeColor="text1"/>
                      <w:sz w:val="20"/>
                      <w:szCs w:val="20"/>
                      <w:lang w:val="en-GB"/>
                    </w:rPr>
                    <w:t>Clinicians overseeing the infusion service need to have appropriate experience and competencies</w:t>
                  </w:r>
                </w:p>
                <w:p w:rsidRPr="00DB72EE" w:rsidR="00124B81" w:rsidP="001B36EE" w:rsidRDefault="00124B81" w14:paraId="13C49B8D" w14:textId="40EF86C5">
                  <w:pPr>
                    <w:pStyle w:val="ListParagraph"/>
                    <w:numPr>
                      <w:ilvl w:val="0"/>
                      <w:numId w:val="20"/>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Low patient numbers may pose an issue for maintenance of competency if delivery was </w:t>
                  </w:r>
                  <w:r w:rsidRPr="00DB72EE">
                    <w:rPr>
                      <w:rFonts w:ascii="Poppins" w:hAnsi="Poppins" w:eastAsia="Calibri" w:cs="Poppins"/>
                      <w:i/>
                      <w:iCs/>
                      <w:color w:val="000000" w:themeColor="text1"/>
                      <w:sz w:val="20"/>
                      <w:szCs w:val="20"/>
                      <w:lang w:val="en-GB"/>
                    </w:rPr>
                    <w:t xml:space="preserve">ad hoc </w:t>
                  </w:r>
                  <w:r w:rsidRPr="00DB72EE">
                    <w:rPr>
                      <w:rFonts w:ascii="Poppins" w:hAnsi="Poppins" w:eastAsia="Calibri" w:cs="Poppins"/>
                      <w:color w:val="000000" w:themeColor="text1"/>
                      <w:sz w:val="20"/>
                      <w:szCs w:val="20"/>
                      <w:lang w:val="en-GB"/>
                    </w:rPr>
                    <w:t xml:space="preserve">but may be less problematic in regional hubs and as the service </w:t>
                  </w:r>
                  <w:r w:rsidRPr="00DB72EE" w:rsidR="004469CD">
                    <w:rPr>
                      <w:rFonts w:ascii="Poppins" w:hAnsi="Poppins" w:eastAsia="Calibri" w:cs="Poppins"/>
                      <w:color w:val="000000" w:themeColor="text1"/>
                      <w:sz w:val="20"/>
                      <w:szCs w:val="20"/>
                      <w:lang w:val="en-GB"/>
                    </w:rPr>
                    <w:t>i</w:t>
                  </w:r>
                  <w:r w:rsidRPr="00DB72EE">
                    <w:rPr>
                      <w:rFonts w:ascii="Poppins" w:hAnsi="Poppins" w:eastAsia="Calibri" w:cs="Poppins"/>
                      <w:color w:val="000000" w:themeColor="text1"/>
                      <w:sz w:val="20"/>
                      <w:szCs w:val="20"/>
                      <w:lang w:val="en-GB"/>
                    </w:rPr>
                    <w:t>s scaled up</w:t>
                  </w:r>
                </w:p>
                <w:p w:rsidRPr="00DB72EE" w:rsidR="00124B81" w:rsidP="001B36EE" w:rsidRDefault="00124B81" w14:paraId="6228E0E9" w14:textId="4EB05AAC">
                  <w:pPr>
                    <w:pStyle w:val="ListParagraph"/>
                    <w:numPr>
                      <w:ilvl w:val="0"/>
                      <w:numId w:val="20"/>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Homecare providers may not routinely set up PICC lines, which would pose an </w:t>
                  </w:r>
                  <w:proofErr w:type="gramStart"/>
                  <w:r w:rsidRPr="00DB72EE">
                    <w:rPr>
                      <w:rFonts w:ascii="Poppins" w:hAnsi="Poppins" w:eastAsia="Calibri" w:cs="Poppins"/>
                      <w:color w:val="000000" w:themeColor="text1"/>
                      <w:sz w:val="20"/>
                      <w:szCs w:val="20"/>
                      <w:lang w:val="en-GB"/>
                    </w:rPr>
                    <w:t>issues</w:t>
                  </w:r>
                  <w:proofErr w:type="gramEnd"/>
                  <w:r w:rsidRPr="00DB72EE">
                    <w:rPr>
                      <w:rFonts w:ascii="Poppins" w:hAnsi="Poppins" w:eastAsia="Calibri" w:cs="Poppins"/>
                      <w:color w:val="000000" w:themeColor="text1"/>
                      <w:sz w:val="20"/>
                      <w:szCs w:val="20"/>
                      <w:lang w:val="en-GB"/>
                    </w:rPr>
                    <w:t xml:space="preserve"> for training and competency. This might be mitigated by use of a centralised mobile team of nurses within a region</w:t>
                  </w:r>
                  <w:r w:rsidRPr="00DB72EE" w:rsidR="004469CD">
                    <w:rPr>
                      <w:rFonts w:ascii="Poppins" w:hAnsi="Poppins" w:eastAsia="Calibri" w:cs="Poppins"/>
                      <w:color w:val="000000" w:themeColor="text1"/>
                      <w:sz w:val="20"/>
                      <w:szCs w:val="20"/>
                      <w:lang w:val="en-GB"/>
                    </w:rPr>
                    <w:t xml:space="preserve"> or by the Trust IV access team (consider costing/implementation)</w:t>
                  </w:r>
                </w:p>
                <w:p w:rsidRPr="00DB72EE" w:rsidR="00124B81" w:rsidP="001B36EE" w:rsidRDefault="00124B81" w14:paraId="2898B352" w14:textId="59A97676">
                  <w:pPr>
                    <w:pStyle w:val="ListParagraph"/>
                    <w:numPr>
                      <w:ilvl w:val="0"/>
                      <w:numId w:val="20"/>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Consideration needs to be given to wider training of staff other than infusion teams, e.g., out of hours clinicians and nurses, administrative staff</w:t>
                  </w:r>
                  <w:r w:rsidR="00430C78">
                    <w:rPr>
                      <w:rFonts w:ascii="Poppins" w:hAnsi="Poppins" w:eastAsia="Calibri" w:cs="Poppins"/>
                      <w:color w:val="000000" w:themeColor="text1"/>
                      <w:sz w:val="20"/>
                      <w:szCs w:val="20"/>
                      <w:lang w:val="en-GB"/>
                    </w:rPr>
                    <w:t>. This would include access to information to deal with any questions about how to deal with complications that may arise</w:t>
                  </w:r>
                </w:p>
                <w:p w:rsidRPr="00DB72EE" w:rsidR="00124B81" w:rsidP="001B36EE" w:rsidRDefault="00E715E0" w14:paraId="67FE5DA0" w14:textId="77CCBE6E">
                  <w:pPr>
                    <w:pStyle w:val="ListParagraph"/>
                    <w:numPr>
                      <w:ilvl w:val="0"/>
                      <w:numId w:val="20"/>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There is limited awareness of staging</w:t>
                  </w:r>
                  <w:r w:rsidRPr="00DB72EE" w:rsidR="00D64302">
                    <w:rPr>
                      <w:rFonts w:ascii="Poppins" w:hAnsi="Poppins" w:eastAsia="Calibri" w:cs="Poppins"/>
                      <w:color w:val="000000" w:themeColor="text1"/>
                      <w:sz w:val="20"/>
                      <w:szCs w:val="20"/>
                      <w:lang w:val="en-GB"/>
                    </w:rPr>
                    <w:t xml:space="preserve"> within T1D</w:t>
                  </w:r>
                  <w:r w:rsidRPr="00DB72EE">
                    <w:rPr>
                      <w:rFonts w:ascii="Poppins" w:hAnsi="Poppins" w:eastAsia="Calibri" w:cs="Poppins"/>
                      <w:color w:val="000000" w:themeColor="text1"/>
                      <w:sz w:val="20"/>
                      <w:szCs w:val="20"/>
                      <w:lang w:val="en-GB"/>
                    </w:rPr>
                    <w:t xml:space="preserve"> both within and outside diabetes specialism so there is a need for education and training of healthcare professionals </w:t>
                  </w:r>
                </w:p>
              </w:tc>
            </w:tr>
            <w:tr w:rsidRPr="00C43185" w:rsidR="00A12E0E" w:rsidTr="001B36EE" w14:paraId="5A4F641C" w14:textId="77777777">
              <w:tc>
                <w:tcPr>
                  <w:tcW w:w="2324" w:type="dxa"/>
                  <w:shd w:val="clear" w:color="auto" w:fill="A4D6EF"/>
                </w:tcPr>
                <w:p w:rsidRPr="00E90712" w:rsidR="003B1F95" w:rsidP="001B36EE" w:rsidRDefault="003B1F95" w14:paraId="4914ED21"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Clinical protocols and pathways</w:t>
                  </w:r>
                </w:p>
                <w:p w:rsidRPr="00DB72EE" w:rsidR="00A12E0E" w:rsidP="001B36EE" w:rsidRDefault="00A12E0E" w14:paraId="47AE2E94" w14:textId="77777777">
                  <w:pPr>
                    <w:spacing w:after="60"/>
                    <w:rPr>
                      <w:rFonts w:ascii="Poppins" w:hAnsi="Poppins" w:eastAsia="Calibri" w:cs="Poppins"/>
                      <w:color w:val="FFFFFF" w:themeColor="background1"/>
                      <w:sz w:val="20"/>
                      <w:szCs w:val="20"/>
                    </w:rPr>
                  </w:pP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DB72EE" w:rsidR="00A12E0E" w:rsidP="001B36EE" w:rsidRDefault="00124B81" w14:paraId="2EFE5DA2" w14:textId="388A3044">
                  <w:pPr>
                    <w:pStyle w:val="ListParagraph"/>
                    <w:numPr>
                      <w:ilvl w:val="0"/>
                      <w:numId w:val="21"/>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Protocols are essential and need to cover pharmacy preparation, nurse administration and adverse event management. Those used in </w:t>
                  </w:r>
                  <w:r w:rsidRPr="00DB72EE" w:rsidR="0001040A">
                    <w:rPr>
                      <w:rFonts w:ascii="Poppins" w:hAnsi="Poppins" w:eastAsia="Calibri" w:cs="Poppins"/>
                      <w:color w:val="000000" w:themeColor="text1"/>
                      <w:sz w:val="20"/>
                      <w:szCs w:val="20"/>
                      <w:lang w:val="en-GB"/>
                    </w:rPr>
                    <w:t xml:space="preserve">teplizumab </w:t>
                  </w:r>
                  <w:r w:rsidRPr="00DB72EE">
                    <w:rPr>
                      <w:rFonts w:ascii="Poppins" w:hAnsi="Poppins" w:eastAsia="Calibri" w:cs="Poppins"/>
                      <w:color w:val="000000" w:themeColor="text1"/>
                      <w:sz w:val="20"/>
                      <w:szCs w:val="20"/>
                      <w:lang w:val="en-GB"/>
                    </w:rPr>
                    <w:t>Managed Access Programmes may prove to be suitable templates</w:t>
                  </w:r>
                </w:p>
                <w:p w:rsidRPr="00DB72EE" w:rsidR="00124B81" w:rsidP="001B36EE" w:rsidRDefault="00124B81" w14:paraId="103B9AF9" w14:textId="77777777">
                  <w:pPr>
                    <w:pStyle w:val="ListParagraph"/>
                    <w:numPr>
                      <w:ilvl w:val="0"/>
                      <w:numId w:val="21"/>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A validated body surface area calculator is needed to ensure accuracy of dosing for administration and could be used to generate aseptic preparation sheets for pharmacy</w:t>
                  </w:r>
                </w:p>
                <w:p w:rsidRPr="00DB72EE" w:rsidR="00124B81" w:rsidP="001B36EE" w:rsidRDefault="00124B81" w14:paraId="7DF56787" w14:textId="77777777">
                  <w:pPr>
                    <w:pStyle w:val="ListParagraph"/>
                    <w:numPr>
                      <w:ilvl w:val="0"/>
                      <w:numId w:val="21"/>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Referral pathways are required for patient identification, referral from spoke to hub and for post-infusion monitoring</w:t>
                  </w:r>
                </w:p>
                <w:p w:rsidRPr="00DB72EE" w:rsidR="00124B81" w:rsidP="001B36EE" w:rsidRDefault="00124B81" w14:paraId="003DB4D8" w14:textId="04B28311">
                  <w:pPr>
                    <w:pStyle w:val="ListParagraph"/>
                    <w:numPr>
                      <w:ilvl w:val="0"/>
                      <w:numId w:val="21"/>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Identification and follow-up processes could utilise UK antibody registry in a track-and-trace methodology, as for familial hypercholesterolaemia, managed by diabetes nurses</w:t>
                  </w:r>
                </w:p>
              </w:tc>
            </w:tr>
            <w:tr w:rsidRPr="00C43185" w:rsidR="00A12E0E" w:rsidTr="001B36EE" w14:paraId="2D8AF03D" w14:textId="77777777">
              <w:tc>
                <w:tcPr>
                  <w:tcW w:w="2324" w:type="dxa"/>
                  <w:shd w:val="clear" w:color="auto" w:fill="A4D6EF"/>
                </w:tcPr>
                <w:p w:rsidRPr="00E90712" w:rsidR="003B1F95" w:rsidP="001B36EE" w:rsidRDefault="003B1F95" w14:paraId="6AF21BE7"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Risk and contingency</w:t>
                  </w:r>
                </w:p>
                <w:p w:rsidRPr="00E90712" w:rsidR="00A12E0E" w:rsidP="001B36EE" w:rsidRDefault="00A12E0E" w14:paraId="32C0755E" w14:textId="77777777">
                  <w:pPr>
                    <w:spacing w:after="60"/>
                    <w:rPr>
                      <w:rFonts w:ascii="Poppins" w:hAnsi="Poppins" w:eastAsia="Calibri" w:cs="Poppins"/>
                      <w:b/>
                      <w:bCs/>
                      <w:color w:val="0023C8"/>
                      <w:sz w:val="20"/>
                      <w:szCs w:val="20"/>
                    </w:rPr>
                  </w:pP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DB72EE" w:rsidR="00A12E0E" w:rsidP="001B36EE" w:rsidRDefault="00124B81" w14:paraId="5F560728" w14:textId="77777777">
                  <w:pPr>
                    <w:pStyle w:val="ListParagraph"/>
                    <w:numPr>
                      <w:ilvl w:val="0"/>
                      <w:numId w:val="22"/>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There needs to be clear escalation processes for the management of adverse events including access to on-call clinicians for out-of-hours providers</w:t>
                  </w:r>
                </w:p>
                <w:p w:rsidRPr="00DB72EE" w:rsidR="00124B81" w:rsidP="001B36EE" w:rsidRDefault="00124B81" w14:paraId="3E1D8993" w14:textId="23AFB36A">
                  <w:pPr>
                    <w:pStyle w:val="ListParagraph"/>
                    <w:numPr>
                      <w:ilvl w:val="0"/>
                      <w:numId w:val="22"/>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Drug wastage will be costly; arrangements need to be in place if errors occur, e.g., who covers the cost if </w:t>
                  </w:r>
                  <w:r w:rsidRPr="00DB72EE" w:rsidR="008F0896">
                    <w:rPr>
                      <w:rFonts w:ascii="Poppins" w:hAnsi="Poppins" w:eastAsia="Calibri" w:cs="Poppins"/>
                      <w:color w:val="000000" w:themeColor="text1"/>
                      <w:sz w:val="20"/>
                      <w:szCs w:val="20"/>
                      <w:lang w:val="en-GB"/>
                    </w:rPr>
                    <w:t>wastage occurs</w:t>
                  </w:r>
                  <w:r w:rsidRPr="00DB72EE">
                    <w:rPr>
                      <w:rFonts w:ascii="Poppins" w:hAnsi="Poppins" w:eastAsia="Calibri" w:cs="Poppins"/>
                      <w:color w:val="000000" w:themeColor="text1"/>
                      <w:sz w:val="20"/>
                      <w:szCs w:val="20"/>
                      <w:lang w:val="en-GB"/>
                    </w:rPr>
                    <w:t xml:space="preserve"> during homecare provision?</w:t>
                  </w:r>
                </w:p>
                <w:p w:rsidRPr="00DB72EE" w:rsidR="00124B81" w:rsidP="001B36EE" w:rsidRDefault="00124B81" w14:paraId="57836789" w14:textId="77777777">
                  <w:pPr>
                    <w:pStyle w:val="ListParagraph"/>
                    <w:numPr>
                      <w:ilvl w:val="0"/>
                      <w:numId w:val="22"/>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There is a need to balance the logistics of delivering a complex service with current NHS policy direction – a hub and spoke model may not fit with left shift of care or the health inequalities agenda</w:t>
                  </w:r>
                </w:p>
                <w:p w:rsidRPr="00DB72EE" w:rsidR="00E715E0" w:rsidP="001B36EE" w:rsidRDefault="00E715E0" w14:paraId="5DF2746C" w14:textId="77777777">
                  <w:pPr>
                    <w:pStyle w:val="ListParagraph"/>
                    <w:numPr>
                      <w:ilvl w:val="0"/>
                      <w:numId w:val="22"/>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Governance arrangements for a non-traditional hub and spoke model need to be robust with clear roles and responsibilities and exchange of data </w:t>
                  </w:r>
                </w:p>
                <w:p w:rsidRPr="00DD016B" w:rsidR="00124B81" w:rsidP="001B36EE" w:rsidRDefault="00E715E0" w14:paraId="1C636E4B" w14:textId="35F04B77">
                  <w:pPr>
                    <w:pStyle w:val="ListParagraph"/>
                    <w:numPr>
                      <w:ilvl w:val="0"/>
                      <w:numId w:val="22"/>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Explore models of homecare provision that best mitigate concerns regarding competency for </w:t>
                  </w:r>
                  <w:r w:rsidRPr="00DB72EE">
                    <w:rPr>
                      <w:rFonts w:ascii="Poppins" w:hAnsi="Poppins" w:eastAsia="Calibri" w:cs="Poppins"/>
                      <w:color w:val="000000" w:themeColor="text1"/>
                      <w:sz w:val="20"/>
                      <w:szCs w:val="20"/>
                      <w:lang w:val="en-GB"/>
                    </w:rPr>
                    <w:t>preparation, administration and management of adverse events in patients’ homes</w:t>
                  </w:r>
                </w:p>
              </w:tc>
            </w:tr>
            <w:tr w:rsidRPr="00C43185" w:rsidR="003B1F95" w:rsidTr="001B36EE" w14:paraId="306B4CC6" w14:textId="77777777">
              <w:tc>
                <w:tcPr>
                  <w:tcW w:w="2324" w:type="dxa"/>
                  <w:shd w:val="clear" w:color="auto" w:fill="A4D6EF"/>
                </w:tcPr>
                <w:p w:rsidRPr="00E90712" w:rsidR="003B1F95" w:rsidP="001B36EE" w:rsidRDefault="003B1F95" w14:paraId="3D59864A"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Equity of access</w:t>
                  </w:r>
                </w:p>
                <w:p w:rsidRPr="00E90712" w:rsidR="003B1F95" w:rsidP="001B36EE" w:rsidRDefault="003B1F95" w14:paraId="09F70EBB" w14:textId="77777777">
                  <w:pPr>
                    <w:spacing w:after="60"/>
                    <w:rPr>
                      <w:rFonts w:ascii="Poppins" w:hAnsi="Poppins" w:eastAsia="Calibri" w:cs="Poppins"/>
                      <w:b/>
                      <w:bCs/>
                      <w:color w:val="0023C8"/>
                      <w:sz w:val="20"/>
                      <w:szCs w:val="20"/>
                    </w:rPr>
                  </w:pP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DB72EE" w:rsidR="00124B81" w:rsidP="001B36EE" w:rsidRDefault="00124B81" w14:paraId="101D0966" w14:textId="77777777">
                  <w:pPr>
                    <w:pStyle w:val="ListParagraph"/>
                    <w:numPr>
                      <w:ilvl w:val="0"/>
                      <w:numId w:val="23"/>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It may prove easier to secure funding for regional hubs, but </w:t>
                  </w:r>
                  <w:proofErr w:type="gramStart"/>
                  <w:r w:rsidRPr="00DB72EE">
                    <w:rPr>
                      <w:rFonts w:ascii="Poppins" w:hAnsi="Poppins" w:eastAsia="Calibri" w:cs="Poppins"/>
                      <w:color w:val="000000" w:themeColor="text1"/>
                      <w:sz w:val="20"/>
                      <w:szCs w:val="20"/>
                      <w:lang w:val="en-GB"/>
                    </w:rPr>
                    <w:t>this risks</w:t>
                  </w:r>
                  <w:proofErr w:type="gramEnd"/>
                  <w:r w:rsidRPr="00DB72EE">
                    <w:rPr>
                      <w:rFonts w:ascii="Poppins" w:hAnsi="Poppins" w:eastAsia="Calibri" w:cs="Poppins"/>
                      <w:color w:val="000000" w:themeColor="text1"/>
                      <w:sz w:val="20"/>
                      <w:szCs w:val="20"/>
                      <w:lang w:val="en-GB"/>
                    </w:rPr>
                    <w:t xml:space="preserve"> creating inequity due to issues with travelling</w:t>
                  </w:r>
                  <w:r w:rsidRPr="00DB72EE" w:rsidR="002B269B">
                    <w:rPr>
                      <w:rFonts w:ascii="Poppins" w:hAnsi="Poppins" w:eastAsia="Calibri" w:cs="Poppins"/>
                      <w:color w:val="000000" w:themeColor="text1"/>
                      <w:sz w:val="20"/>
                      <w:szCs w:val="20"/>
                      <w:lang w:val="en-GB"/>
                    </w:rPr>
                    <w:t xml:space="preserve"> and</w:t>
                  </w:r>
                  <w:r w:rsidRPr="00DB72EE">
                    <w:rPr>
                      <w:rFonts w:ascii="Poppins" w:hAnsi="Poppins" w:eastAsia="Calibri" w:cs="Poppins"/>
                      <w:color w:val="000000" w:themeColor="text1"/>
                      <w:sz w:val="20"/>
                      <w:szCs w:val="20"/>
                      <w:lang w:val="en-GB"/>
                    </w:rPr>
                    <w:t xml:space="preserve"> accommodation, especially in rural areas or where there are high levels of deprivation</w:t>
                  </w:r>
                </w:p>
                <w:p w:rsidR="002B269B" w:rsidP="001B36EE" w:rsidRDefault="002B269B" w14:paraId="06FB7B08" w14:textId="77777777">
                  <w:pPr>
                    <w:pStyle w:val="ListParagraph"/>
                    <w:numPr>
                      <w:ilvl w:val="0"/>
                      <w:numId w:val="23"/>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rPr>
                    <w:t>Inequity may also occur when patients/carers are unable to take the necessary time off work or caring responsibilities</w:t>
                  </w:r>
                </w:p>
                <w:p w:rsidRPr="00DB72EE" w:rsidR="00B00822" w:rsidP="001B36EE" w:rsidRDefault="00B00822" w14:paraId="65FCDB05" w14:textId="534C63C3">
                  <w:pPr>
                    <w:pStyle w:val="ListParagraph"/>
                    <w:spacing w:after="60"/>
                    <w:ind w:left="0"/>
                    <w:contextualSpacing w:val="0"/>
                    <w:rPr>
                      <w:rFonts w:ascii="Poppins" w:hAnsi="Poppins" w:eastAsia="Calibri" w:cs="Poppins"/>
                      <w:color w:val="000000" w:themeColor="text1"/>
                      <w:sz w:val="20"/>
                      <w:szCs w:val="20"/>
                    </w:rPr>
                  </w:pPr>
                  <w:r w:rsidRPr="00B00822">
                    <w:rPr>
                      <w:rFonts w:ascii="Poppins" w:hAnsi="Poppins" w:eastAsia="Calibri" w:cs="Poppins"/>
                      <w:color w:val="A6A6A6" w:themeColor="background1" w:themeShade="A6"/>
                      <w:sz w:val="20"/>
                      <w:szCs w:val="20"/>
                    </w:rPr>
                    <w:t>See section 3.5 below for further</w:t>
                  </w:r>
                  <w:r>
                    <w:rPr>
                      <w:rFonts w:ascii="Poppins" w:hAnsi="Poppins" w:eastAsia="Calibri" w:cs="Poppins"/>
                      <w:color w:val="A6A6A6" w:themeColor="background1" w:themeShade="A6"/>
                      <w:sz w:val="20"/>
                      <w:szCs w:val="20"/>
                    </w:rPr>
                    <w:t xml:space="preserve"> considerations&gt;</w:t>
                  </w:r>
                  <w:r>
                    <w:rPr>
                      <w:rFonts w:ascii="Poppins" w:hAnsi="Poppins" w:eastAsia="Calibri" w:cs="Poppins"/>
                      <w:i/>
                      <w:iCs/>
                      <w:color w:val="000000" w:themeColor="text1"/>
                      <w:sz w:val="20"/>
                      <w:szCs w:val="20"/>
                    </w:rPr>
                    <w:t xml:space="preserve"> </w:t>
                  </w:r>
                </w:p>
              </w:tc>
            </w:tr>
            <w:tr w:rsidRPr="00C43185" w:rsidR="003B1F95" w:rsidTr="001B36EE" w14:paraId="7D25F170" w14:textId="77777777">
              <w:tc>
                <w:tcPr>
                  <w:tcW w:w="2324" w:type="dxa"/>
                  <w:shd w:val="clear" w:color="auto" w:fill="A4D6EF"/>
                </w:tcPr>
                <w:p w:rsidRPr="00E90712" w:rsidR="003B1F95" w:rsidP="001B36EE" w:rsidRDefault="003B1F95" w14:paraId="6E7122F1"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Alignment with current care pathways</w:t>
                  </w:r>
                </w:p>
                <w:p w:rsidRPr="00E90712" w:rsidR="003B1F95" w:rsidP="001B36EE" w:rsidRDefault="003B1F95" w14:paraId="182F489E" w14:textId="69CBA6ED">
                  <w:pPr>
                    <w:spacing w:after="60"/>
                    <w:rPr>
                      <w:rFonts w:ascii="Poppins" w:hAnsi="Poppins" w:eastAsia="Calibri" w:cs="Poppins"/>
                      <w:b/>
                      <w:bCs/>
                      <w:color w:val="0023C8"/>
                      <w:sz w:val="20"/>
                      <w:szCs w:val="20"/>
                    </w:rPr>
                  </w:pPr>
                </w:p>
              </w:tc>
              <w:tc>
                <w:tcPr>
                  <w:tcW w:w="5726" w:type="dxa"/>
                  <w:tcBorders>
                    <w:top w:val="single" w:color="D9D9D9" w:themeColor="background1" w:themeShade="D9" w:sz="4" w:space="0"/>
                    <w:bottom w:val="single" w:color="D9D9D9" w:themeColor="background1" w:themeShade="D9" w:sz="4" w:space="0"/>
                  </w:tcBorders>
                  <w:shd w:val="clear" w:color="auto" w:fill="F2F2F2" w:themeFill="background1" w:themeFillShade="F2"/>
                </w:tcPr>
                <w:p w:rsidRPr="00DB72EE" w:rsidR="00124B81" w:rsidP="001B36EE" w:rsidRDefault="00124B81" w14:paraId="11999B99" w14:textId="048799A3">
                  <w:pPr>
                    <w:pStyle w:val="ListParagraph"/>
                    <w:numPr>
                      <w:ilvl w:val="0"/>
                      <w:numId w:val="24"/>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Infusion provision is likely to sit outside of diabetes clinics therefore there is a need for data sharing between clinics within a Trust and between hubs and spokes</w:t>
                  </w:r>
                </w:p>
                <w:p w:rsidRPr="00DB72EE" w:rsidR="00124B81" w:rsidP="001B36EE" w:rsidRDefault="00124B81" w14:paraId="6334E0F2" w14:textId="5B960666">
                  <w:pPr>
                    <w:pStyle w:val="ListParagraph"/>
                    <w:numPr>
                      <w:ilvl w:val="0"/>
                      <w:numId w:val="24"/>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Post-infusion follow-up will sit with local diabetes teams, and this should be reflected in pathways of care</w:t>
                  </w:r>
                </w:p>
                <w:p w:rsidRPr="00DB72EE" w:rsidR="00A627CC" w:rsidP="001B36EE" w:rsidRDefault="00A627CC" w14:paraId="650663B6" w14:textId="1A853DCA">
                  <w:pPr>
                    <w:pStyle w:val="ListParagraph"/>
                    <w:numPr>
                      <w:ilvl w:val="0"/>
                      <w:numId w:val="24"/>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Cross-ICB collaboration is required to ensure clarity on funding flows and governance arrangements which may be aided by provider collaboratives once they are more mature</w:t>
                  </w:r>
                </w:p>
                <w:p w:rsidRPr="00DB72EE" w:rsidR="003B1F95" w:rsidP="001B36EE" w:rsidRDefault="00E715E0" w14:paraId="690197B5" w14:textId="4E6AB009">
                  <w:pPr>
                    <w:pStyle w:val="ListParagraph"/>
                    <w:numPr>
                      <w:ilvl w:val="0"/>
                      <w:numId w:val="24"/>
                    </w:numPr>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Patient identification is currently via research trials. The feasibility of primary care access to dry spot testing or a track-and-trace model using diabetes</w:t>
                  </w:r>
                  <w:r w:rsidRPr="00DB72EE" w:rsidR="004469CD">
                    <w:rPr>
                      <w:rFonts w:ascii="Poppins" w:hAnsi="Poppins" w:eastAsia="Calibri" w:cs="Poppins"/>
                      <w:color w:val="000000" w:themeColor="text1"/>
                      <w:sz w:val="20"/>
                      <w:szCs w:val="20"/>
                      <w:lang w:val="en-GB"/>
                    </w:rPr>
                    <w:t xml:space="preserve"> specialist</w:t>
                  </w:r>
                  <w:r w:rsidRPr="00DB72EE">
                    <w:rPr>
                      <w:rFonts w:ascii="Poppins" w:hAnsi="Poppins" w:eastAsia="Calibri" w:cs="Poppins"/>
                      <w:color w:val="000000" w:themeColor="text1"/>
                      <w:sz w:val="20"/>
                      <w:szCs w:val="20"/>
                      <w:lang w:val="en-GB"/>
                    </w:rPr>
                    <w:t xml:space="preserve"> nurses would need to be explored for scaling up of service provision </w:t>
                  </w:r>
                </w:p>
              </w:tc>
            </w:tr>
            <w:tr w:rsidRPr="00C43185" w:rsidR="003B1F95" w:rsidTr="001B36EE" w14:paraId="7DEE14A5" w14:textId="77777777">
              <w:tc>
                <w:tcPr>
                  <w:tcW w:w="2324" w:type="dxa"/>
                  <w:shd w:val="clear" w:color="auto" w:fill="A4D6EF"/>
                </w:tcPr>
                <w:p w:rsidRPr="00E90712" w:rsidR="003B1F95" w:rsidP="001B36EE" w:rsidRDefault="003B1F95" w14:paraId="7BDEA8C0" w14:textId="77777777">
                  <w:pPr>
                    <w:spacing w:after="60"/>
                    <w:rPr>
                      <w:rFonts w:ascii="Poppins" w:hAnsi="Poppins" w:eastAsia="Calibri" w:cs="Poppins"/>
                      <w:b/>
                      <w:bCs/>
                      <w:color w:val="0023C8"/>
                      <w:sz w:val="20"/>
                      <w:szCs w:val="20"/>
                    </w:rPr>
                  </w:pPr>
                  <w:r w:rsidRPr="00E90712">
                    <w:rPr>
                      <w:rFonts w:ascii="Poppins" w:hAnsi="Poppins" w:eastAsia="Calibri" w:cs="Poppins"/>
                      <w:b/>
                      <w:bCs/>
                      <w:color w:val="0023C8"/>
                      <w:sz w:val="20"/>
                      <w:szCs w:val="20"/>
                    </w:rPr>
                    <w:t>Operational and logistical challenges and how you aim to deal with them</w:t>
                  </w:r>
                </w:p>
                <w:p w:rsidRPr="00E90712" w:rsidR="003B1F95" w:rsidP="001B36EE" w:rsidRDefault="003B1F95" w14:paraId="2510A082" w14:textId="4DF01587">
                  <w:pPr>
                    <w:spacing w:after="60"/>
                    <w:rPr>
                      <w:rFonts w:ascii="Poppins" w:hAnsi="Poppins" w:eastAsia="Calibri" w:cs="Poppins"/>
                      <w:b/>
                      <w:bCs/>
                      <w:color w:val="0023C8"/>
                      <w:sz w:val="20"/>
                      <w:szCs w:val="20"/>
                    </w:rPr>
                  </w:pPr>
                </w:p>
              </w:tc>
              <w:tc>
                <w:tcPr>
                  <w:tcW w:w="5726" w:type="dxa"/>
                  <w:tcBorders>
                    <w:top w:val="single" w:color="D9D9D9" w:themeColor="background1" w:themeShade="D9" w:sz="4" w:space="0"/>
                    <w:bottom w:val="nil"/>
                  </w:tcBorders>
                  <w:shd w:val="clear" w:color="auto" w:fill="F2F2F2" w:themeFill="background1" w:themeFillShade="F2"/>
                </w:tcPr>
                <w:p w:rsidRPr="00DB72EE" w:rsidR="003B1F95" w:rsidP="001B36EE" w:rsidRDefault="000349F3" w14:paraId="28166C37" w14:textId="215D6BF9">
                  <w:pPr>
                    <w:pStyle w:val="ListParagraph"/>
                    <w:numPr>
                      <w:ilvl w:val="0"/>
                      <w:numId w:val="19"/>
                    </w:numPr>
                    <w:shd w:val="clear" w:color="auto" w:fill="F2F2F2" w:themeFill="background1" w:themeFillShade="F2"/>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Weekend service provision may not be available in current infusion units or pharmacy so would require alternative models </w:t>
                  </w:r>
                  <w:r w:rsidRPr="00DB72EE" w:rsidR="00F93CC9">
                    <w:rPr>
                      <w:rFonts w:ascii="Poppins" w:hAnsi="Poppins" w:eastAsia="Calibri" w:cs="Poppins"/>
                      <w:color w:val="000000" w:themeColor="text1"/>
                      <w:sz w:val="20"/>
                      <w:szCs w:val="20"/>
                      <w:lang w:val="en-GB"/>
                    </w:rPr>
                    <w:t xml:space="preserve">which may include </w:t>
                  </w:r>
                  <w:r w:rsidRPr="00DB72EE">
                    <w:rPr>
                      <w:rFonts w:ascii="Poppins" w:hAnsi="Poppins" w:eastAsia="Calibri" w:cs="Poppins"/>
                      <w:color w:val="000000" w:themeColor="text1"/>
                      <w:sz w:val="20"/>
                      <w:szCs w:val="20"/>
                      <w:lang w:val="en-GB"/>
                    </w:rPr>
                    <w:t xml:space="preserve">the use of ambulatory care centres, homecare or outsourcing to private providers – describe how you plan to manage this </w:t>
                  </w:r>
                  <w:r w:rsidRPr="00DB72EE" w:rsidR="00932CBC">
                    <w:rPr>
                      <w:rFonts w:ascii="Poppins" w:hAnsi="Poppins" w:eastAsia="Calibri" w:cs="Poppins"/>
                      <w:color w:val="000000" w:themeColor="text1"/>
                      <w:sz w:val="20"/>
                      <w:szCs w:val="20"/>
                      <w:lang w:val="en-GB"/>
                    </w:rPr>
                    <w:t xml:space="preserve">if </w:t>
                  </w:r>
                  <w:r w:rsidRPr="00DB72EE">
                    <w:rPr>
                      <w:rFonts w:ascii="Poppins" w:hAnsi="Poppins" w:eastAsia="Calibri" w:cs="Poppins"/>
                      <w:color w:val="000000" w:themeColor="text1"/>
                      <w:sz w:val="20"/>
                      <w:szCs w:val="20"/>
                      <w:lang w:val="en-GB"/>
                    </w:rPr>
                    <w:t xml:space="preserve">weekend provision </w:t>
                  </w:r>
                  <w:r w:rsidRPr="00DB72EE" w:rsidR="00932CBC">
                    <w:rPr>
                      <w:rFonts w:ascii="Poppins" w:hAnsi="Poppins" w:eastAsia="Calibri" w:cs="Poppins"/>
                      <w:color w:val="000000" w:themeColor="text1"/>
                      <w:sz w:val="20"/>
                      <w:szCs w:val="20"/>
                      <w:lang w:val="en-GB"/>
                    </w:rPr>
                    <w:t xml:space="preserve">is </w:t>
                  </w:r>
                  <w:r w:rsidRPr="00DB72EE">
                    <w:rPr>
                      <w:rFonts w:ascii="Poppins" w:hAnsi="Poppins" w:eastAsia="Calibri" w:cs="Poppins"/>
                      <w:color w:val="000000" w:themeColor="text1"/>
                      <w:sz w:val="20"/>
                      <w:szCs w:val="20"/>
                      <w:lang w:val="en-GB"/>
                    </w:rPr>
                    <w:t>not available in your Trust</w:t>
                  </w:r>
                </w:p>
                <w:p w:rsidRPr="00DB72EE" w:rsidR="000349F3" w:rsidP="001B36EE" w:rsidRDefault="00352212" w14:paraId="2530D88B" w14:textId="578A8A4C">
                  <w:pPr>
                    <w:pStyle w:val="ListParagraph"/>
                    <w:numPr>
                      <w:ilvl w:val="0"/>
                      <w:numId w:val="19"/>
                    </w:numPr>
                    <w:shd w:val="clear" w:color="auto" w:fill="F2F2F2" w:themeFill="background1" w:themeFillShade="F2"/>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rPr>
                    <w:t>If homecare is being considered, please speak to your Sanofi representative regarding this</w:t>
                  </w:r>
                </w:p>
                <w:p w:rsidRPr="00DB72EE" w:rsidR="000349F3" w:rsidP="001B36EE" w:rsidRDefault="00492EF2" w14:paraId="56F9DD22" w14:textId="7FACF6FA">
                  <w:pPr>
                    <w:pStyle w:val="ListParagraph"/>
                    <w:numPr>
                      <w:ilvl w:val="0"/>
                      <w:numId w:val="19"/>
                    </w:numPr>
                    <w:shd w:val="clear" w:color="auto" w:fill="F2F2F2" w:themeFill="background1" w:themeFillShade="F2"/>
                    <w:spacing w:after="60"/>
                    <w:ind w:left="360"/>
                    <w:contextualSpacing w:val="0"/>
                    <w:rPr>
                      <w:rFonts w:ascii="Poppins" w:hAnsi="Poppins" w:eastAsia="Calibri" w:cs="Poppins"/>
                      <w:color w:val="000000" w:themeColor="text1"/>
                      <w:sz w:val="20"/>
                      <w:szCs w:val="20"/>
                    </w:rPr>
                  </w:pPr>
                  <w:r w:rsidRPr="00DB72EE">
                    <w:rPr>
                      <w:rFonts w:ascii="Poppins" w:hAnsi="Poppins" w:eastAsia="Calibri" w:cs="Poppins"/>
                      <w:color w:val="000000" w:themeColor="text1"/>
                      <w:sz w:val="20"/>
                      <w:szCs w:val="20"/>
                      <w:lang w:val="en-GB"/>
                    </w:rPr>
                    <w:t xml:space="preserve">There needs to be </w:t>
                  </w:r>
                  <w:proofErr w:type="gramStart"/>
                  <w:r w:rsidRPr="00DB72EE">
                    <w:rPr>
                      <w:rFonts w:ascii="Poppins" w:hAnsi="Poppins" w:eastAsia="Calibri" w:cs="Poppins"/>
                      <w:color w:val="000000" w:themeColor="text1"/>
                      <w:sz w:val="20"/>
                      <w:szCs w:val="20"/>
                      <w:lang w:val="en-GB"/>
                    </w:rPr>
                    <w:t>access</w:t>
                  </w:r>
                  <w:proofErr w:type="gramEnd"/>
                  <w:r w:rsidRPr="00DB72EE">
                    <w:rPr>
                      <w:rFonts w:ascii="Poppins" w:hAnsi="Poppins" w:eastAsia="Calibri" w:cs="Poppins"/>
                      <w:color w:val="000000" w:themeColor="text1"/>
                      <w:sz w:val="20"/>
                      <w:szCs w:val="20"/>
                      <w:lang w:val="en-GB"/>
                    </w:rPr>
                    <w:t xml:space="preserve"> to staff trained in aseptic </w:t>
                  </w:r>
                  <w:r w:rsidR="00135281">
                    <w:rPr>
                      <w:rFonts w:ascii="Poppins" w:hAnsi="Poppins" w:eastAsia="Calibri" w:cs="Poppins"/>
                      <w:color w:val="000000" w:themeColor="text1"/>
                      <w:sz w:val="20"/>
                      <w:szCs w:val="20"/>
                      <w:lang w:val="en-GB"/>
                    </w:rPr>
                    <w:t xml:space="preserve">preparation </w:t>
                  </w:r>
                  <w:r w:rsidRPr="00DB72EE">
                    <w:rPr>
                      <w:rFonts w:ascii="Poppins" w:hAnsi="Poppins" w:eastAsia="Calibri" w:cs="Poppins"/>
                      <w:color w:val="000000" w:themeColor="text1"/>
                      <w:sz w:val="20"/>
                      <w:szCs w:val="20"/>
                      <w:lang w:val="en-GB"/>
                    </w:rPr>
                    <w:t>technique</w:t>
                  </w:r>
                  <w:r w:rsidRPr="00DB72EE" w:rsidR="00474490">
                    <w:rPr>
                      <w:rFonts w:ascii="Poppins" w:hAnsi="Poppins" w:eastAsia="Calibri" w:cs="Poppins"/>
                      <w:color w:val="000000" w:themeColor="text1"/>
                      <w:sz w:val="20"/>
                      <w:szCs w:val="20"/>
                      <w:lang w:val="en-GB"/>
                    </w:rPr>
                    <w:t xml:space="preserve">, including over weekends. </w:t>
                  </w:r>
                  <w:r w:rsidRPr="00DB72EE" w:rsidR="000349F3">
                    <w:rPr>
                      <w:rFonts w:ascii="Poppins" w:hAnsi="Poppins" w:eastAsia="Calibri" w:cs="Poppins"/>
                      <w:color w:val="000000" w:themeColor="text1"/>
                      <w:sz w:val="20"/>
                      <w:szCs w:val="20"/>
                      <w:lang w:val="en-GB"/>
                    </w:rPr>
                    <w:t>Describe how you plan to overcome these issues if relevant for your Trust</w:t>
                  </w:r>
                </w:p>
                <w:p w:rsidRPr="00DB72EE" w:rsidR="00A627CC" w:rsidP="001B36EE" w:rsidRDefault="00F25454" w14:paraId="09EA55E6" w14:textId="303912A3">
                  <w:pPr>
                    <w:pStyle w:val="ListParagraph"/>
                    <w:numPr>
                      <w:ilvl w:val="0"/>
                      <w:numId w:val="19"/>
                    </w:numPr>
                    <w:shd w:val="clear" w:color="auto" w:fill="F2F2F2" w:themeFill="background1" w:themeFillShade="F2"/>
                    <w:spacing w:after="60"/>
                    <w:ind w:left="360"/>
                    <w:contextualSpacing w:val="0"/>
                    <w:rPr>
                      <w:rFonts w:ascii="Poppins" w:hAnsi="Poppins" w:eastAsia="Calibri" w:cs="Poppins"/>
                      <w:color w:val="000000" w:themeColor="text1"/>
                      <w:sz w:val="20"/>
                      <w:szCs w:val="20"/>
                    </w:rPr>
                  </w:pPr>
                  <w:r>
                    <w:rPr>
                      <w:rFonts w:ascii="Poppins" w:hAnsi="Poppins" w:eastAsia="Calibri" w:cs="Poppins"/>
                      <w:color w:val="000000" w:themeColor="text1"/>
                      <w:sz w:val="20"/>
                      <w:szCs w:val="20"/>
                      <w:lang w:val="en-GB"/>
                    </w:rPr>
                    <w:t>There may be shortages of PVC infusion bags</w:t>
                  </w:r>
                  <w:r w:rsidRPr="00DB72EE" w:rsidR="00FD33FA">
                    <w:rPr>
                      <w:rFonts w:ascii="Poppins" w:hAnsi="Poppins" w:eastAsia="Calibri" w:cs="Poppins"/>
                      <w:color w:val="000000" w:themeColor="text1"/>
                      <w:sz w:val="20"/>
                      <w:szCs w:val="20"/>
                      <w:lang w:val="en-GB"/>
                    </w:rPr>
                    <w:t>. Inappropriate use for other infusions could lead to wastage. Describe how you plan to mitigate the risk</w:t>
                  </w:r>
                </w:p>
              </w:tc>
            </w:tr>
          </w:tbl>
          <w:p w:rsidRPr="001D296E" w:rsidR="00C90722" w:rsidP="001B36EE" w:rsidRDefault="00C90722" w14:paraId="7C3C8B47" w14:textId="1128A39F">
            <w:pPr>
              <w:rPr>
                <w:rFonts w:ascii="Poppins" w:hAnsi="Poppins" w:eastAsia="Calibri" w:cs="Poppins"/>
                <w:color w:val="A6A6A6" w:themeColor="background1" w:themeShade="A6"/>
              </w:rPr>
            </w:pPr>
          </w:p>
        </w:tc>
      </w:tr>
    </w:tbl>
    <w:tbl>
      <w:tblPr>
        <w:tblStyle w:val="TableGrid"/>
        <w:tblpPr w:leftFromText="180" w:rightFromText="180" w:vertAnchor="text" w:horzAnchor="margin" w:tblpY="365"/>
        <w:tblW w:w="0" w:type="auto"/>
        <w:tblBorders>
          <w:top w:val="single" w:color="0023C8" w:sz="4" w:space="0"/>
          <w:left w:val="single" w:color="0023C8" w:sz="4" w:space="0"/>
          <w:bottom w:val="single" w:color="0023C8" w:sz="4" w:space="0"/>
          <w:right w:val="single" w:color="0023C8" w:sz="4" w:space="0"/>
          <w:insideH w:val="single" w:color="0023C8" w:sz="4" w:space="0"/>
          <w:insideV w:val="none" w:color="auto" w:sz="0" w:space="0"/>
        </w:tblBorders>
        <w:tblCellMar>
          <w:top w:w="227" w:type="dxa"/>
          <w:left w:w="284" w:type="dxa"/>
          <w:bottom w:w="227" w:type="dxa"/>
          <w:right w:w="284" w:type="dxa"/>
        </w:tblCellMar>
        <w:tblLook w:val="04A0" w:firstRow="1" w:lastRow="0" w:firstColumn="1" w:lastColumn="0" w:noHBand="0" w:noVBand="1"/>
      </w:tblPr>
      <w:tblGrid>
        <w:gridCol w:w="8630"/>
      </w:tblGrid>
      <w:tr w:rsidRPr="00C43185" w:rsidR="00F7469D" w:rsidTr="00F7469D" w14:paraId="2FFE0057" w14:textId="77777777">
        <w:trPr>
          <w:trHeight w:val="1361"/>
        </w:trPr>
        <w:tc>
          <w:tcPr>
            <w:tcW w:w="8630" w:type="dxa"/>
          </w:tcPr>
          <w:p w:rsidRPr="001D296E" w:rsidR="00F7469D" w:rsidP="001B36EE" w:rsidRDefault="00F7469D" w14:paraId="4C255C4C" w14:textId="77777777">
            <w:pPr>
              <w:pStyle w:val="Heading2"/>
              <w:spacing w:before="0" w:after="60"/>
              <w:rPr>
                <w:rFonts w:ascii="Poppins" w:hAnsi="Poppins" w:cs="Poppins"/>
                <w:color w:val="0023C8"/>
              </w:rPr>
            </w:pPr>
            <w:bookmarkStart w:name="_Toc229391535" w:id="14"/>
            <w:r w:rsidRPr="001D296E">
              <w:rPr>
                <w:rFonts w:ascii="Poppins" w:hAnsi="Poppins" w:cs="Poppins"/>
                <w:color w:val="0023C8"/>
              </w:rPr>
              <w:t>3.4 Critical success factors</w:t>
            </w:r>
            <w:bookmarkEnd w:id="14"/>
          </w:p>
          <w:p w:rsidRPr="00DB72EE" w:rsidR="00F7469D" w:rsidP="001B36EE" w:rsidRDefault="00F7469D" w14:paraId="5052AA7F" w14:textId="77777777">
            <w:pPr>
              <w:spacing w:after="24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&lt;Based on your proposed service model, use the table below to list the factors that you think are critical to successful service delivery and what evidence/assurance you can provide that these have been considered and any risks mitigated.</w:t>
            </w:r>
            <w:r>
              <w:rPr>
                <w:rFonts w:ascii="Poppins" w:hAnsi="Poppins" w:eastAsia="Calibri" w:cs="Poppins"/>
                <w:color w:val="A6A6A6" w:themeColor="background1" w:themeShade="A6"/>
                <w:sz w:val="20"/>
                <w:szCs w:val="20"/>
              </w:rPr>
              <w:t xml:space="preserve"> For example, sufficient infusion service and follow-up clinic capacity, availability of staff </w:t>
            </w:r>
            <w:proofErr w:type="gramStart"/>
            <w:r>
              <w:rPr>
                <w:rFonts w:ascii="Poppins" w:hAnsi="Poppins" w:eastAsia="Calibri" w:cs="Poppins"/>
                <w:color w:val="A6A6A6" w:themeColor="background1" w:themeShade="A6"/>
                <w:sz w:val="20"/>
                <w:szCs w:val="20"/>
              </w:rPr>
              <w:t>cover</w:t>
            </w:r>
            <w:proofErr w:type="gramEnd"/>
            <w:r>
              <w:rPr>
                <w:rFonts w:ascii="Poppins" w:hAnsi="Poppins" w:eastAsia="Calibri" w:cs="Poppins"/>
                <w:color w:val="A6A6A6" w:themeColor="background1" w:themeShade="A6"/>
                <w:sz w:val="20"/>
                <w:szCs w:val="20"/>
              </w:rPr>
              <w:t xml:space="preserve"> for weekend working, ability to store and reconstitute vials over a 14-day period </w:t>
            </w:r>
            <w:r w:rsidRPr="00DA0225">
              <w:rPr>
                <w:rFonts w:ascii="Poppins" w:hAnsi="Poppins" w:eastAsia="Calibri" w:cs="Poppins"/>
                <w:color w:val="A6A6A6" w:themeColor="background1" w:themeShade="A6"/>
                <w:sz w:val="20"/>
                <w:szCs w:val="20"/>
              </w:rPr>
              <w:t>&gt;</w:t>
            </w:r>
          </w:p>
          <w:tbl>
            <w:tblPr>
              <w:tblStyle w:val="LightList-Accent1"/>
              <w:tblW w:w="0" w:type="auto"/>
              <w:jc w:val="center"/>
              <w:tblBorders>
                <w:top w:val="none" w:color="auto" w:sz="0" w:space="0"/>
                <w:left w:val="none" w:color="auto" w:sz="0" w:space="0"/>
                <w:bottom w:val="none" w:color="auto" w:sz="0" w:space="0"/>
                <w:right w:val="none" w:color="auto" w:sz="0" w:space="0"/>
              </w:tblBorders>
              <w:tblLook w:val="04A0" w:firstRow="1" w:lastRow="0" w:firstColumn="1" w:lastColumn="0" w:noHBand="0" w:noVBand="1"/>
            </w:tblPr>
            <w:tblGrid>
              <w:gridCol w:w="2602"/>
              <w:gridCol w:w="2631"/>
              <w:gridCol w:w="2829"/>
            </w:tblGrid>
            <w:tr w:rsidRPr="00C43185" w:rsidR="00F7469D" w:rsidTr="00F006FE" w14:paraId="02A9B1C1" w14:textId="77777777">
              <w:trPr>
                <w:cnfStyle w:val="100000000000" w:firstRow="1" w:lastRow="0" w:firstColumn="0" w:lastColumn="0" w:oddVBand="0" w:evenVBand="0" w:oddHBand="0" w:evenHBand="0" w:firstRowFirstColumn="0" w:firstRowLastColumn="0" w:lastRowFirstColumn="0" w:lastRowLastColumn="0"/>
                <w:trHeight w:val="890"/>
                <w:jc w:val="center"/>
              </w:trPr>
              <w:tc>
                <w:tcPr>
                  <w:cnfStyle w:val="001000000000" w:firstRow="0" w:lastRow="0" w:firstColumn="1" w:lastColumn="0" w:oddVBand="0" w:evenVBand="0" w:oddHBand="0" w:evenHBand="0" w:firstRowFirstColumn="0" w:firstRowLastColumn="0" w:lastRowFirstColumn="0" w:lastRowLastColumn="0"/>
                  <w:tcW w:w="2880" w:type="dxa"/>
                  <w:tcBorders>
                    <w:bottom w:val="single" w:color="FFFFFF" w:themeColor="background1" w:sz="18" w:space="0"/>
                  </w:tcBorders>
                  <w:shd w:val="clear" w:color="auto" w:fill="0096FF"/>
                  <w:vAlign w:val="center"/>
                </w:tcPr>
                <w:p w:rsidRPr="00C43185" w:rsidR="00F7469D" w:rsidP="00DD6D35" w:rsidRDefault="00F7469D" w14:paraId="0E63B0A4" w14:textId="793FFD1C">
                  <w:pPr>
                    <w:framePr w:hSpace="180" w:wrap="around" w:hAnchor="margin" w:vAnchor="text" w:y="365"/>
                    <w:jc w:val="center"/>
                    <w:rPr>
                      <w:rFonts w:ascii="Poppins" w:hAnsi="Poppins" w:cs="Poppins"/>
                    </w:rPr>
                  </w:pPr>
                  <w:r w:rsidRPr="00C43185">
                    <w:rPr>
                      <w:rFonts w:ascii="Poppins" w:hAnsi="Poppins" w:cs="Poppins"/>
                    </w:rPr>
                    <w:t>Critical success</w:t>
                  </w:r>
                  <w:r w:rsidR="001B36EE">
                    <w:rPr>
                      <w:rFonts w:ascii="Poppins" w:hAnsi="Poppins" w:cs="Poppins"/>
                    </w:rPr>
                    <w:br/>
                  </w:r>
                  <w:r w:rsidRPr="00C43185">
                    <w:rPr>
                      <w:rFonts w:ascii="Poppins" w:hAnsi="Poppins" w:cs="Poppins"/>
                    </w:rPr>
                    <w:t>factor</w:t>
                  </w:r>
                </w:p>
              </w:tc>
              <w:tc>
                <w:tcPr>
                  <w:tcW w:w="2880" w:type="dxa"/>
                  <w:tcBorders>
                    <w:bottom w:val="single" w:color="FFFFFF" w:themeColor="background1" w:sz="18" w:space="0"/>
                  </w:tcBorders>
                  <w:shd w:val="clear" w:color="auto" w:fill="0096FF"/>
                  <w:vAlign w:val="center"/>
                </w:tcPr>
                <w:p w:rsidRPr="00C43185" w:rsidR="00F7469D" w:rsidP="00DD6D35" w:rsidRDefault="00F7469D" w14:paraId="217C49A3" w14:textId="77777777">
                  <w:pPr>
                    <w:framePr w:hSpace="180" w:wrap="around" w:hAnchor="margin" w:vAnchor="text" w:y="365"/>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Definition</w:t>
                  </w:r>
                </w:p>
              </w:tc>
              <w:tc>
                <w:tcPr>
                  <w:tcW w:w="2880" w:type="dxa"/>
                  <w:tcBorders>
                    <w:bottom w:val="single" w:color="FFFFFF" w:themeColor="background1" w:sz="18" w:space="0"/>
                  </w:tcBorders>
                  <w:shd w:val="clear" w:color="auto" w:fill="0096FF"/>
                  <w:vAlign w:val="center"/>
                </w:tcPr>
                <w:p w:rsidRPr="00C43185" w:rsidR="00F7469D" w:rsidP="00DD6D35" w:rsidRDefault="00F7469D" w14:paraId="3821C5B0" w14:textId="77777777">
                  <w:pPr>
                    <w:framePr w:hSpace="180" w:wrap="around" w:hAnchor="margin" w:vAnchor="text" w:y="365"/>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Evidence/Assurance</w:t>
                  </w:r>
                </w:p>
              </w:tc>
            </w:tr>
            <w:tr w:rsidRPr="00C43185" w:rsidR="00F7469D" w:rsidTr="00F006FE" w14:paraId="5F826737" w14:textId="77777777">
              <w:trPr>
                <w:cnfStyle w:val="000000100000" w:firstRow="0" w:lastRow="0" w:firstColumn="0" w:lastColumn="0" w:oddVBand="0" w:evenVBand="0" w:oddHBand="1" w:evenHBand="0" w:firstRowFirstColumn="0" w:firstRowLastColumn="0" w:lastRowFirstColumn="0" w:lastRowLastColumn="0"/>
                <w:trHeight w:val="539"/>
                <w:jc w:val="center"/>
              </w:trPr>
              <w:tc>
                <w:tcPr>
                  <w:cnfStyle w:val="001000000000" w:firstRow="0" w:lastRow="0" w:firstColumn="1" w:lastColumn="0" w:oddVBand="0" w:evenVBand="0" w:oddHBand="0" w:evenHBand="0" w:firstRowFirstColumn="0" w:firstRowLastColumn="0" w:lastRowFirstColumn="0" w:lastRowLastColumn="0"/>
                  <w:tcW w:w="2880"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F7469D" w:rsidP="00DD6D35" w:rsidRDefault="00F7469D" w14:paraId="4314F129" w14:textId="77777777">
                  <w:pPr>
                    <w:framePr w:hSpace="180" w:wrap="around" w:hAnchor="margin" w:vAnchor="text" w:y="365"/>
                    <w:spacing w:after="60"/>
                    <w:jc w:val="center"/>
                    <w:rPr>
                      <w:rFonts w:ascii="Poppins" w:hAnsi="Poppins" w:cs="Poppins"/>
                    </w:rPr>
                  </w:pPr>
                  <w:r w:rsidRPr="00C43185">
                    <w:rPr>
                      <w:rFonts w:ascii="Poppins" w:hAnsi="Poppins" w:cs="Poppins"/>
                    </w:rPr>
                    <w:t>&lt;add text&gt;</w:t>
                  </w:r>
                </w:p>
              </w:tc>
              <w:tc>
                <w:tcPr>
                  <w:tcW w:w="2880" w:type="dxa"/>
                  <w:tcBorders>
                    <w:top w:val="single" w:color="FFFFFF" w:themeColor="background1" w:sz="18" w:space="0"/>
                    <w:bottom w:val="none" w:color="auto" w:sz="0" w:space="0"/>
                  </w:tcBorders>
                  <w:shd w:val="clear" w:color="auto" w:fill="F2F2F2" w:themeFill="background1" w:themeFillShade="F2"/>
                  <w:vAlign w:val="center"/>
                </w:tcPr>
                <w:p w:rsidRPr="00C43185" w:rsidR="00F7469D" w:rsidP="00DD6D35" w:rsidRDefault="00F7469D" w14:paraId="157486A5" w14:textId="77777777">
                  <w:pPr>
                    <w:framePr w:hSpace="180" w:wrap="around" w:hAnchor="margin" w:vAnchor="text" w:y="365"/>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880"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F7469D" w:rsidP="00DD6D35" w:rsidRDefault="00F7469D" w14:paraId="325E1CC4" w14:textId="77777777">
                  <w:pPr>
                    <w:framePr w:hSpace="180" w:wrap="around" w:hAnchor="margin" w:vAnchor="text" w:y="365"/>
                    <w:spacing w:after="60"/>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1D296E" w:rsidR="00F7469D" w:rsidP="001B36EE" w:rsidRDefault="00F7469D" w14:paraId="28BE84EB" w14:textId="77777777">
            <w:pPr>
              <w:pStyle w:val="Heading2"/>
              <w:spacing w:before="0" w:after="60"/>
              <w:rPr>
                <w:rFonts w:ascii="Poppins" w:hAnsi="Poppins" w:cs="Poppins"/>
                <w:color w:val="0023C8"/>
              </w:rPr>
            </w:pPr>
          </w:p>
        </w:tc>
      </w:tr>
      <w:tr w:rsidRPr="00C43185" w:rsidR="00F7469D" w:rsidTr="00F7469D" w14:paraId="3AADD1B6" w14:textId="77777777">
        <w:trPr>
          <w:trHeight w:val="7899"/>
        </w:trPr>
        <w:tc>
          <w:tcPr>
            <w:tcW w:w="8630" w:type="dxa"/>
          </w:tcPr>
          <w:p w:rsidRPr="001D296E" w:rsidR="00F7469D" w:rsidP="001B36EE" w:rsidRDefault="00F7469D" w14:paraId="3E5FE2B2" w14:textId="77777777">
            <w:pPr>
              <w:pStyle w:val="Heading2"/>
              <w:spacing w:before="0" w:after="60"/>
              <w:rPr>
                <w:rFonts w:ascii="Poppins" w:hAnsi="Poppins" w:cs="Poppins"/>
                <w:color w:val="0023C8"/>
              </w:rPr>
            </w:pPr>
            <w:bookmarkStart w:name="_Toc229391536" w:id="15"/>
            <w:r w:rsidRPr="001D296E">
              <w:rPr>
                <w:rFonts w:ascii="Poppins" w:hAnsi="Poppins" w:cs="Poppins"/>
                <w:color w:val="0023C8"/>
              </w:rPr>
              <w:t>3.5 Equity of access</w:t>
            </w:r>
            <w:bookmarkEnd w:id="15"/>
          </w:p>
          <w:p w:rsidRPr="002D5CF5" w:rsidR="00F7469D" w:rsidP="001B36EE" w:rsidRDefault="00F7469D" w14:paraId="7F889F60" w14:textId="77777777">
            <w:pPr>
              <w:spacing w:after="6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&lt;Insert here any potential inequities of access in your proposed service model and how you might mitigate them. Some suggested areas you may wish to consider are listed below:</w:t>
            </w:r>
          </w:p>
          <w:p w:rsidRPr="00DA0225" w:rsidR="00F7469D" w:rsidP="001B36EE" w:rsidRDefault="00F7469D" w14:paraId="3757287A" w14:textId="77777777">
            <w:pPr>
              <w:pStyle w:val="ListParagraph"/>
              <w:numPr>
                <w:ilvl w:val="0"/>
                <w:numId w:val="25"/>
              </w:numPr>
              <w:spacing w:after="60"/>
              <w:ind w:left="360"/>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What will the impact be on p</w:t>
            </w:r>
            <w:r>
              <w:rPr>
                <w:rFonts w:ascii="Poppins" w:hAnsi="Poppins" w:eastAsia="Calibri" w:cs="Poppins"/>
                <w:color w:val="A6A6A6" w:themeColor="background1" w:themeShade="A6"/>
                <w:sz w:val="20"/>
                <w:szCs w:val="20"/>
              </w:rPr>
              <w:t>eople</w:t>
            </w:r>
            <w:r w:rsidRPr="00DA0225">
              <w:rPr>
                <w:rFonts w:ascii="Poppins" w:hAnsi="Poppins" w:eastAsia="Calibri" w:cs="Poppins"/>
                <w:color w:val="A6A6A6" w:themeColor="background1" w:themeShade="A6"/>
                <w:sz w:val="20"/>
                <w:szCs w:val="20"/>
              </w:rPr>
              <w:t xml:space="preserve"> in relation to travel and accommodation over 14 consecutive days of infusions? Will the impact be greater for those</w:t>
            </w:r>
          </w:p>
          <w:p w:rsidRPr="00DA0225" w:rsidR="00F7469D" w:rsidP="001B36EE" w:rsidRDefault="00F7469D" w14:paraId="25B89AE0" w14:textId="77777777">
            <w:pPr>
              <w:pStyle w:val="ListParagraph"/>
              <w:numPr>
                <w:ilvl w:val="1"/>
                <w:numId w:val="25"/>
              </w:numPr>
              <w:spacing w:after="60"/>
              <w:ind w:left="723"/>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On low incomes</w:t>
            </w:r>
          </w:p>
          <w:p w:rsidRPr="00DA0225" w:rsidR="00F7469D" w:rsidP="001B36EE" w:rsidRDefault="00F7469D" w14:paraId="361A52F3" w14:textId="77777777">
            <w:pPr>
              <w:pStyle w:val="ListParagraph"/>
              <w:numPr>
                <w:ilvl w:val="1"/>
                <w:numId w:val="25"/>
              </w:numPr>
              <w:spacing w:after="60"/>
              <w:ind w:left="723"/>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Having to request time off work (including parents/carers</w:t>
            </w:r>
            <w:r>
              <w:rPr>
                <w:rFonts w:ascii="Poppins" w:hAnsi="Poppins" w:eastAsia="Calibri" w:cs="Poppins"/>
                <w:color w:val="A6A6A6" w:themeColor="background1" w:themeShade="A6"/>
                <w:sz w:val="20"/>
                <w:szCs w:val="20"/>
              </w:rPr>
              <w:t xml:space="preserve"> who may be self-employed or on </w:t>
            </w:r>
            <w:proofErr w:type="gramStart"/>
            <w:r>
              <w:rPr>
                <w:rFonts w:ascii="Poppins" w:hAnsi="Poppins" w:eastAsia="Calibri" w:cs="Poppins"/>
                <w:color w:val="A6A6A6" w:themeColor="background1" w:themeShade="A6"/>
                <w:sz w:val="20"/>
                <w:szCs w:val="20"/>
              </w:rPr>
              <w:t>zero hour</w:t>
            </w:r>
            <w:proofErr w:type="gramEnd"/>
            <w:r>
              <w:rPr>
                <w:rFonts w:ascii="Poppins" w:hAnsi="Poppins" w:eastAsia="Calibri" w:cs="Poppins"/>
                <w:color w:val="A6A6A6" w:themeColor="background1" w:themeShade="A6"/>
                <w:sz w:val="20"/>
                <w:szCs w:val="20"/>
              </w:rPr>
              <w:t xml:space="preserve"> contracts</w:t>
            </w:r>
            <w:r w:rsidRPr="00DA0225">
              <w:rPr>
                <w:rFonts w:ascii="Poppins" w:hAnsi="Poppins" w:eastAsia="Calibri" w:cs="Poppins"/>
                <w:color w:val="A6A6A6" w:themeColor="background1" w:themeShade="A6"/>
                <w:sz w:val="20"/>
                <w:szCs w:val="20"/>
              </w:rPr>
              <w:t>)</w:t>
            </w:r>
          </w:p>
          <w:p w:rsidRPr="00DA0225" w:rsidR="00F7469D" w:rsidP="001B36EE" w:rsidRDefault="00F7469D" w14:paraId="2AED0A5F" w14:textId="77777777">
            <w:pPr>
              <w:pStyle w:val="ListParagraph"/>
              <w:numPr>
                <w:ilvl w:val="1"/>
                <w:numId w:val="25"/>
              </w:numPr>
              <w:spacing w:after="60"/>
              <w:ind w:left="723"/>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Having to fund accommodation and travel</w:t>
            </w:r>
          </w:p>
          <w:p w:rsidR="00F7469D" w:rsidP="001B36EE" w:rsidRDefault="00F7469D" w14:paraId="62B3AD09" w14:textId="77777777">
            <w:pPr>
              <w:pStyle w:val="ListParagraph"/>
              <w:numPr>
                <w:ilvl w:val="1"/>
                <w:numId w:val="25"/>
              </w:numPr>
              <w:spacing w:after="60"/>
              <w:ind w:left="723"/>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Living in rural communities or areas with poor transport networks</w:t>
            </w:r>
          </w:p>
          <w:p w:rsidRPr="00917A83" w:rsidR="00F7469D" w:rsidP="001B36EE" w:rsidRDefault="00F7469D" w14:paraId="220219E6" w14:textId="77777777">
            <w:pPr>
              <w:pStyle w:val="ListParagraph"/>
              <w:numPr>
                <w:ilvl w:val="1"/>
                <w:numId w:val="25"/>
              </w:numPr>
              <w:spacing w:after="60"/>
              <w:ind w:left="723"/>
              <w:contextualSpacing w:val="0"/>
              <w:rPr>
                <w:rFonts w:ascii="Poppins" w:hAnsi="Poppins" w:eastAsia="Calibri" w:cs="Poppins"/>
                <w:color w:val="A6A6A6" w:themeColor="background1" w:themeShade="A6"/>
                <w:sz w:val="20"/>
                <w:szCs w:val="20"/>
              </w:rPr>
            </w:pPr>
            <w:r>
              <w:rPr>
                <w:rFonts w:ascii="Poppins" w:hAnsi="Poppins" w:eastAsia="Calibri" w:cs="Poppins"/>
                <w:color w:val="A6A6A6" w:themeColor="background1" w:themeShade="A6"/>
                <w:sz w:val="20"/>
                <w:szCs w:val="20"/>
              </w:rPr>
              <w:t>Having caring responsibilities, e.g., single parents with other children not needing TZIELD</w:t>
            </w:r>
          </w:p>
          <w:p w:rsidRPr="00DA0225" w:rsidR="00F7469D" w:rsidP="001B36EE" w:rsidRDefault="00F7469D" w14:paraId="45A8480C" w14:textId="77777777">
            <w:pPr>
              <w:spacing w:after="6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Include local plan for accommodation for patients and their families</w:t>
            </w:r>
          </w:p>
          <w:p w:rsidRPr="00DA0225" w:rsidR="00F7469D" w:rsidP="001B36EE" w:rsidRDefault="00F7469D" w14:paraId="63E0D6BD" w14:textId="77777777">
            <w:pPr>
              <w:pStyle w:val="ListParagraph"/>
              <w:numPr>
                <w:ilvl w:val="0"/>
                <w:numId w:val="25"/>
              </w:numPr>
              <w:spacing w:after="60"/>
              <w:ind w:left="360"/>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How will patient resources meet the needs of all patients/carers who may require access to them?</w:t>
            </w:r>
          </w:p>
          <w:p w:rsidRPr="00917A83" w:rsidR="00F7469D" w:rsidP="001B36EE" w:rsidRDefault="00F7469D" w14:paraId="439AFD75" w14:textId="77777777">
            <w:pPr>
              <w:pStyle w:val="ListParagraph"/>
              <w:numPr>
                <w:ilvl w:val="0"/>
                <w:numId w:val="25"/>
              </w:numPr>
              <w:spacing w:after="60"/>
              <w:ind w:left="360"/>
              <w:contextualSpacing w:val="0"/>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 xml:space="preserve">How will you endeavor to engage with </w:t>
            </w:r>
            <w:proofErr w:type="gramStart"/>
            <w:r w:rsidRPr="00DA0225">
              <w:rPr>
                <w:rFonts w:ascii="Poppins" w:hAnsi="Poppins" w:eastAsia="Calibri" w:cs="Poppins"/>
                <w:color w:val="A6A6A6" w:themeColor="background1" w:themeShade="A6"/>
                <w:sz w:val="20"/>
                <w:szCs w:val="20"/>
              </w:rPr>
              <w:t>hard to reach</w:t>
            </w:r>
            <w:proofErr w:type="gramEnd"/>
            <w:r w:rsidRPr="00DA0225">
              <w:rPr>
                <w:rFonts w:ascii="Poppins" w:hAnsi="Poppins" w:eastAsia="Calibri" w:cs="Poppins"/>
                <w:color w:val="A6A6A6" w:themeColor="background1" w:themeShade="A6"/>
                <w:sz w:val="20"/>
                <w:szCs w:val="20"/>
              </w:rPr>
              <w:t xml:space="preserve"> groups about the availability of the service?</w:t>
            </w:r>
          </w:p>
          <w:p w:rsidRPr="001D296E" w:rsidR="00F7469D" w:rsidP="001B36EE" w:rsidRDefault="00F7469D" w14:paraId="2BFA4174" w14:textId="77777777">
            <w:pPr>
              <w:pStyle w:val="Heading2"/>
              <w:spacing w:before="0" w:after="60"/>
              <w:rPr>
                <w:rFonts w:ascii="Poppins" w:hAnsi="Poppins" w:cs="Poppins"/>
                <w:color w:val="0023C8"/>
              </w:rPr>
            </w:pPr>
            <w:bookmarkStart w:name="_Toc227060647" w:id="16"/>
            <w:bookmarkStart w:name="_Toc229151955" w:id="17"/>
            <w:bookmarkStart w:name="_Toc229391537" w:id="18"/>
            <w:r w:rsidRPr="00DA0225">
              <w:rPr>
                <w:rFonts w:ascii="Poppins" w:hAnsi="Poppins" w:eastAsia="Calibri" w:cs="Poppins"/>
                <w:color w:val="A6A6A6" w:themeColor="background1" w:themeShade="A6"/>
                <w:sz w:val="20"/>
                <w:szCs w:val="20"/>
              </w:rPr>
              <w:t>Complete the necessary Equality Impact Assessment for your organisation in section 5) Delivery and assurance&gt;</w:t>
            </w:r>
            <w:bookmarkEnd w:id="16"/>
            <w:bookmarkEnd w:id="17"/>
            <w:bookmarkEnd w:id="18"/>
          </w:p>
        </w:tc>
      </w:tr>
    </w:tbl>
    <w:p w:rsidR="00917A83" w:rsidP="001B36EE" w:rsidRDefault="00917A83" w14:paraId="223B5CC3" w14:textId="77777777">
      <w:pPr>
        <w:spacing w:line="240" w:lineRule="auto"/>
      </w:pPr>
    </w:p>
    <w:p w:rsidRPr="001D296E" w:rsidR="007C5948" w:rsidP="001B36EE" w:rsidRDefault="003B163D" w14:paraId="17581D84" w14:textId="174FC715">
      <w:pPr>
        <w:pStyle w:val="Heading1"/>
        <w:numPr>
          <w:ilvl w:val="0"/>
          <w:numId w:val="26"/>
        </w:numPr>
        <w:spacing w:after="120" w:line="240" w:lineRule="auto"/>
        <w:rPr>
          <w:rFonts w:ascii="Poppins" w:hAnsi="Poppins" w:cs="Poppins"/>
          <w:color w:val="0023C8"/>
        </w:rPr>
      </w:pPr>
      <w:bookmarkStart w:name="_Toc229391538" w:id="19"/>
      <w:r w:rsidRPr="001D296E">
        <w:rPr>
          <w:rFonts w:ascii="Poppins" w:hAnsi="Poppins" w:cs="Poppins"/>
          <w:color w:val="0023C8"/>
        </w:rPr>
        <w:t>Financial Case</w:t>
      </w:r>
      <w:bookmarkEnd w:id="19"/>
      <w:r w:rsidRPr="001D296E">
        <w:rPr>
          <w:rFonts w:ascii="Poppins" w:hAnsi="Poppins" w:cs="Poppins"/>
          <w:color w:val="0023C8"/>
        </w:rPr>
        <w:t xml:space="preserve"> </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E3E5ED"/>
        <w:tblCellMar>
          <w:top w:w="227" w:type="dxa"/>
          <w:left w:w="284" w:type="dxa"/>
          <w:bottom w:w="227" w:type="dxa"/>
          <w:right w:w="284" w:type="dxa"/>
        </w:tblCellMar>
        <w:tblLook w:val="04A0" w:firstRow="1" w:lastRow="0" w:firstColumn="1" w:lastColumn="0" w:noHBand="0" w:noVBand="1"/>
      </w:tblPr>
      <w:tblGrid>
        <w:gridCol w:w="8630"/>
      </w:tblGrid>
      <w:tr w:rsidRPr="00C43185" w:rsidR="00A1596C" w:rsidTr="000E4452" w14:paraId="0A9A578C" w14:textId="77777777">
        <w:trPr>
          <w:trHeight w:val="3969"/>
        </w:trPr>
        <w:tc>
          <w:tcPr>
            <w:tcW w:w="8630" w:type="dxa"/>
            <w:shd w:val="clear" w:color="auto" w:fill="E3E5ED"/>
          </w:tcPr>
          <w:p w:rsidRPr="00C43185" w:rsidR="0049726A" w:rsidP="001B36EE" w:rsidRDefault="0049726A" w14:paraId="7E25F477" w14:textId="79A9BCCB">
            <w:pPr>
              <w:spacing w:after="60"/>
              <w:rPr>
                <w:rFonts w:ascii="Poppins" w:hAnsi="Poppins" w:eastAsia="Times New Roman" w:cs="Poppins"/>
                <w:b/>
                <w:i/>
                <w:iCs/>
              </w:rPr>
            </w:pPr>
            <w:r w:rsidRPr="00C43185">
              <w:rPr>
                <w:rFonts w:ascii="Poppins" w:hAnsi="Poppins" w:eastAsia="Times New Roman" w:cs="Poppins"/>
                <w:b/>
                <w:i/>
                <w:iCs/>
              </w:rPr>
              <w:t>Guidance information</w:t>
            </w:r>
          </w:p>
          <w:p w:rsidRPr="00DA0225" w:rsidR="0049726A" w:rsidP="001B36EE" w:rsidRDefault="0049726A" w14:paraId="010D487C" w14:textId="0DA19C45">
            <w:pPr>
              <w:pStyle w:val="ListParagraph"/>
              <w:numPr>
                <w:ilvl w:val="0"/>
                <w:numId w:val="27"/>
              </w:numPr>
              <w:spacing w:after="60"/>
              <w:contextualSpacing w:val="0"/>
              <w:rPr>
                <w:rFonts w:ascii="Poppins" w:hAnsi="Poppins" w:cs="Poppins"/>
                <w:bCs/>
                <w:i/>
                <w:iCs/>
                <w:sz w:val="20"/>
                <w:szCs w:val="20"/>
              </w:rPr>
            </w:pPr>
            <w:r w:rsidRPr="00DA0225">
              <w:rPr>
                <w:rFonts w:ascii="Poppins" w:hAnsi="Poppins" w:cs="Poppins"/>
                <w:bCs/>
                <w:i/>
                <w:iCs/>
                <w:sz w:val="20"/>
                <w:szCs w:val="20"/>
              </w:rPr>
              <w:t>This section covers the likely costs associated with the proposed service and what additional funding is required to commission the service</w:t>
            </w:r>
          </w:p>
          <w:p w:rsidRPr="00DA0225" w:rsidR="00490CA3" w:rsidP="001B36EE" w:rsidRDefault="0049726A" w14:paraId="6B7AF1F9" w14:textId="243A06F2">
            <w:pPr>
              <w:pStyle w:val="ListParagraph"/>
              <w:numPr>
                <w:ilvl w:val="0"/>
                <w:numId w:val="27"/>
              </w:numPr>
              <w:spacing w:after="60"/>
              <w:contextualSpacing w:val="0"/>
              <w:rPr>
                <w:rFonts w:ascii="Poppins" w:hAnsi="Poppins" w:cs="Poppins"/>
                <w:bCs/>
                <w:i/>
                <w:iCs/>
                <w:sz w:val="20"/>
                <w:szCs w:val="20"/>
              </w:rPr>
            </w:pPr>
            <w:r w:rsidRPr="00DA0225">
              <w:rPr>
                <w:rFonts w:ascii="Poppins" w:hAnsi="Poppins" w:cs="Poppins"/>
                <w:bCs/>
                <w:i/>
                <w:iCs/>
                <w:sz w:val="20"/>
                <w:szCs w:val="20"/>
              </w:rPr>
              <w:t xml:space="preserve">The format and type of information required will be </w:t>
            </w:r>
            <w:r w:rsidRPr="00DA0225" w:rsidR="00490CA3">
              <w:rPr>
                <w:rFonts w:ascii="Poppins" w:hAnsi="Poppins" w:cs="Poppins"/>
                <w:bCs/>
                <w:i/>
                <w:iCs/>
                <w:sz w:val="20"/>
                <w:szCs w:val="20"/>
              </w:rPr>
              <w:t>designated in your Trust/ICB business case template. Suggested considerations are included, but the decision on what needs to be included will be dependent on your service delivery model</w:t>
            </w:r>
          </w:p>
          <w:p w:rsidRPr="00DA0225" w:rsidR="00B10AF9" w:rsidP="001B36EE" w:rsidRDefault="00490CA3" w14:paraId="56A8B7AF" w14:textId="2D08E309">
            <w:pPr>
              <w:pStyle w:val="ListParagraph"/>
              <w:numPr>
                <w:ilvl w:val="0"/>
                <w:numId w:val="27"/>
              </w:numPr>
              <w:spacing w:after="60"/>
              <w:contextualSpacing w:val="0"/>
              <w:rPr>
                <w:rFonts w:ascii="Poppins" w:hAnsi="Poppins" w:cs="Poppins"/>
                <w:bCs/>
                <w:i/>
                <w:iCs/>
                <w:sz w:val="20"/>
                <w:szCs w:val="20"/>
              </w:rPr>
            </w:pPr>
            <w:r w:rsidRPr="00DA0225">
              <w:rPr>
                <w:rFonts w:ascii="Poppins" w:hAnsi="Poppins" w:cs="Poppins"/>
                <w:bCs/>
                <w:i/>
                <w:iCs/>
                <w:sz w:val="20"/>
                <w:szCs w:val="20"/>
              </w:rPr>
              <w:t>Your finance</w:t>
            </w:r>
            <w:r w:rsidR="00F25454">
              <w:rPr>
                <w:rFonts w:ascii="Poppins" w:hAnsi="Poppins" w:cs="Poppins"/>
                <w:bCs/>
                <w:i/>
                <w:iCs/>
                <w:sz w:val="20"/>
                <w:szCs w:val="20"/>
              </w:rPr>
              <w:t xml:space="preserve"> and contracting</w:t>
            </w:r>
            <w:r w:rsidRPr="00DA0225">
              <w:rPr>
                <w:rFonts w:ascii="Poppins" w:hAnsi="Poppins" w:cs="Poppins"/>
                <w:bCs/>
                <w:i/>
                <w:iCs/>
                <w:sz w:val="20"/>
                <w:szCs w:val="20"/>
              </w:rPr>
              <w:t xml:space="preserve"> team are best placed to advise on likely costs</w:t>
            </w:r>
            <w:r w:rsidRPr="00DA0225" w:rsidR="00B10AF9">
              <w:rPr>
                <w:rFonts w:ascii="Poppins" w:hAnsi="Poppins" w:cs="Poppins"/>
                <w:bCs/>
                <w:i/>
                <w:iCs/>
                <w:sz w:val="20"/>
                <w:szCs w:val="20"/>
              </w:rPr>
              <w:t xml:space="preserve"> </w:t>
            </w:r>
            <w:r w:rsidRPr="00DA0225" w:rsidR="00314AF8">
              <w:rPr>
                <w:rFonts w:ascii="Poppins" w:hAnsi="Poppins" w:cs="Poppins"/>
                <w:bCs/>
                <w:i/>
                <w:iCs/>
                <w:sz w:val="20"/>
                <w:szCs w:val="20"/>
              </w:rPr>
              <w:t>of</w:t>
            </w:r>
            <w:r w:rsidRPr="00DA0225" w:rsidR="00B10AF9">
              <w:rPr>
                <w:rFonts w:ascii="Poppins" w:hAnsi="Poppins" w:cs="Poppins"/>
                <w:bCs/>
                <w:i/>
                <w:iCs/>
                <w:sz w:val="20"/>
                <w:szCs w:val="20"/>
              </w:rPr>
              <w:t xml:space="preserve"> elements of your service proposal and the funding source</w:t>
            </w:r>
          </w:p>
          <w:p w:rsidRPr="00DA0225" w:rsidR="00A1596C" w:rsidP="001B36EE" w:rsidRDefault="00B10AF9" w14:paraId="4CF5BE82" w14:textId="0659FAEF">
            <w:pPr>
              <w:pStyle w:val="ListParagraph"/>
              <w:numPr>
                <w:ilvl w:val="0"/>
                <w:numId w:val="27"/>
              </w:numPr>
              <w:spacing w:after="60"/>
              <w:contextualSpacing w:val="0"/>
              <w:rPr>
                <w:rFonts w:ascii="Poppins" w:hAnsi="Poppins" w:cs="Poppins"/>
                <w:sz w:val="20"/>
                <w:szCs w:val="20"/>
              </w:rPr>
            </w:pPr>
            <w:r w:rsidRPr="00DA0225">
              <w:rPr>
                <w:rFonts w:ascii="Poppins" w:hAnsi="Poppins" w:cs="Poppins"/>
                <w:bCs/>
                <w:i/>
                <w:iCs/>
                <w:sz w:val="20"/>
                <w:szCs w:val="20"/>
              </w:rPr>
              <w:t xml:space="preserve">Suggested tables for displaying cost breakdown, funding and delegated limits, and cashflow and affordability have been included, but you should use the format in your local template to provide information </w:t>
            </w:r>
          </w:p>
        </w:tc>
      </w:tr>
    </w:tbl>
    <w:p w:rsidR="000E4452" w:rsidP="001B36EE" w:rsidRDefault="000E4452" w14:paraId="4004EC3C" w14:textId="77777777">
      <w:pPr>
        <w:spacing w:line="240" w:lineRule="auto"/>
      </w:pPr>
    </w:p>
    <w:tbl>
      <w:tblPr>
        <w:tblStyle w:val="TableGrid"/>
        <w:tblW w:w="0" w:type="auto"/>
        <w:tblBorders>
          <w:top w:val="none" w:color="auto" w:sz="0" w:space="0"/>
          <w:left w:val="none" w:color="auto" w:sz="0" w:space="0"/>
          <w:bottom w:val="none" w:color="auto" w:sz="0" w:space="0"/>
          <w:right w:val="none" w:color="auto" w:sz="0" w:space="0"/>
        </w:tblBorders>
        <w:shd w:val="clear" w:color="auto" w:fill="E3E5ED"/>
        <w:tblCellMar>
          <w:top w:w="227" w:type="dxa"/>
          <w:left w:w="284" w:type="dxa"/>
          <w:bottom w:w="227" w:type="dxa"/>
          <w:right w:w="284" w:type="dxa"/>
        </w:tblCellMar>
        <w:tblLook w:val="04A0" w:firstRow="1" w:lastRow="0" w:firstColumn="1" w:lastColumn="0" w:noHBand="0" w:noVBand="1"/>
      </w:tblPr>
      <w:tblGrid>
        <w:gridCol w:w="8630"/>
      </w:tblGrid>
      <w:tr w:rsidRPr="00C43185" w:rsidR="00DA0225" w:rsidTr="000E4452" w14:paraId="185AFB22" w14:textId="77777777">
        <w:trPr>
          <w:trHeight w:val="3969"/>
        </w:trPr>
        <w:tc>
          <w:tcPr>
            <w:tcW w:w="8630" w:type="dxa"/>
            <w:tcBorders>
              <w:top w:val="single" w:color="0023C8" w:sz="4" w:space="0"/>
              <w:left w:val="single" w:color="0023C8" w:sz="4" w:space="0"/>
              <w:bottom w:val="single" w:color="0023C8" w:sz="4" w:space="0"/>
              <w:right w:val="single" w:color="0023C8" w:sz="4" w:space="0"/>
            </w:tcBorders>
            <w:shd w:val="clear" w:color="auto" w:fill="FFFFFF" w:themeFill="background1"/>
          </w:tcPr>
          <w:p w:rsidRPr="00DA0225" w:rsidR="00DA0225" w:rsidP="001B36EE" w:rsidRDefault="00DA0225" w14:paraId="5185CC9E" w14:textId="77777777">
            <w:pPr>
              <w:pStyle w:val="Heading2"/>
              <w:spacing w:before="0" w:after="120"/>
              <w:rPr>
                <w:rFonts w:ascii="Poppins" w:hAnsi="Poppins" w:cs="Poppins"/>
                <w:color w:val="0023C8"/>
              </w:rPr>
            </w:pPr>
            <w:bookmarkStart w:name="_Toc229391539" w:id="20"/>
            <w:r w:rsidRPr="00DA0225">
              <w:rPr>
                <w:rFonts w:ascii="Poppins" w:hAnsi="Poppins" w:cs="Poppins"/>
                <w:color w:val="0023C8"/>
              </w:rPr>
              <w:t>4.1 Cost breakdown</w:t>
            </w:r>
            <w:bookmarkEnd w:id="20"/>
          </w:p>
          <w:p w:rsidRPr="00DA0225" w:rsidR="00DA0225" w:rsidP="001B36EE" w:rsidRDefault="00DA0225" w14:paraId="43FE631A" w14:textId="11140F42">
            <w:pPr>
              <w:rPr>
                <w:rFonts w:ascii="Poppins" w:hAnsi="Poppins" w:eastAsia="Calibri" w:cs="Poppins"/>
                <w:color w:val="A6A6A6" w:themeColor="background1" w:themeShade="A6"/>
                <w:sz w:val="20"/>
                <w:szCs w:val="20"/>
              </w:rPr>
            </w:pPr>
            <w:r w:rsidRPr="00DA0225">
              <w:rPr>
                <w:rFonts w:ascii="Poppins" w:hAnsi="Poppins" w:eastAsia="Calibri" w:cs="Poppins"/>
                <w:color w:val="A6A6A6" w:themeColor="background1" w:themeShade="A6"/>
                <w:sz w:val="20"/>
                <w:szCs w:val="20"/>
              </w:rPr>
              <w:t>&lt;The following table provides a framework for considering the costs involved in delivering your service. Categorise the costs using those provided in your local template. If none are provided, the list below suggests potential costing categories for delivery of an infusion service:</w:t>
            </w:r>
          </w:p>
          <w:p w:rsidRPr="00DA0225" w:rsidR="00DA0225" w:rsidP="001B36EE" w:rsidRDefault="00DA0225" w14:paraId="78EBEF86" w14:textId="77777777">
            <w:pPr>
              <w:spacing w:before="24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 xml:space="preserve">Capital (one off) costs </w:t>
            </w:r>
            <w:r w:rsidRPr="00DA0225">
              <w:rPr>
                <w:rFonts w:ascii="Poppins" w:hAnsi="Poppins" w:eastAsia="Calibri" w:cs="Poppins"/>
                <w:color w:val="A6A6A6" w:themeColor="background1" w:themeShade="A6"/>
                <w:sz w:val="20"/>
                <w:szCs w:val="20"/>
              </w:rPr>
              <w:t>(these may not all be applicable if using existing infusion units for delivery)</w:t>
            </w:r>
          </w:p>
          <w:p w:rsidRPr="00DA0225" w:rsidR="00DA0225" w:rsidP="001B36EE" w:rsidRDefault="00DA0225" w14:paraId="0E50D5E7"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Equipment &amp; Devices</w:t>
            </w:r>
            <w:r w:rsidRPr="00DA0225">
              <w:rPr>
                <w:rFonts w:ascii="Poppins" w:hAnsi="Poppins" w:eastAsia="Calibri" w:cs="Poppins"/>
                <w:color w:val="A6A6A6" w:themeColor="background1" w:themeShade="A6"/>
                <w:sz w:val="20"/>
                <w:szCs w:val="20"/>
              </w:rPr>
              <w:t>: PVC bags, infusion stands</w:t>
            </w:r>
          </w:p>
          <w:p w:rsidRPr="00DA0225" w:rsidR="00DA0225" w:rsidP="001B36EE" w:rsidRDefault="00DA0225" w14:paraId="4E2AB9E3"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IT Infrastructure</w:t>
            </w:r>
            <w:r w:rsidRPr="00DA0225">
              <w:rPr>
                <w:rFonts w:ascii="Poppins" w:hAnsi="Poppins" w:eastAsia="Calibri" w:cs="Poppins"/>
                <w:color w:val="A6A6A6" w:themeColor="background1" w:themeShade="A6"/>
                <w:sz w:val="20"/>
                <w:szCs w:val="20"/>
              </w:rPr>
              <w:t>: New software, integrations with electronic prescribing (EPR) systems, data connectivity</w:t>
            </w:r>
          </w:p>
          <w:p w:rsidRPr="00BC77BF" w:rsidR="00DA0225" w:rsidP="001B36EE" w:rsidRDefault="00DA0225" w14:paraId="6FA63CA9" w14:textId="2291228D">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Estate Modifications</w:t>
            </w:r>
            <w:r w:rsidRPr="00DA0225">
              <w:rPr>
                <w:rFonts w:ascii="Poppins" w:hAnsi="Poppins" w:eastAsia="Calibri" w:cs="Poppins"/>
                <w:color w:val="A6A6A6" w:themeColor="background1" w:themeShade="A6"/>
                <w:sz w:val="20"/>
                <w:szCs w:val="20"/>
              </w:rPr>
              <w:t>: Renovations, clinic rooms, storage, aseptic facilities</w:t>
            </w:r>
          </w:p>
          <w:p w:rsidRPr="00DA0225" w:rsidR="00DA0225" w:rsidP="001B36EE" w:rsidRDefault="00DA0225" w14:paraId="57720FB6" w14:textId="77777777">
            <w:pPr>
              <w:spacing w:before="240"/>
              <w:rPr>
                <w:rFonts w:ascii="Poppins" w:hAnsi="Poppins" w:eastAsia="Calibri" w:cs="Poppins"/>
                <w:b/>
                <w:bCs/>
                <w:color w:val="A6A6A6" w:themeColor="background1" w:themeShade="A6"/>
                <w:sz w:val="20"/>
                <w:szCs w:val="20"/>
              </w:rPr>
            </w:pPr>
            <w:r w:rsidRPr="00DA0225">
              <w:rPr>
                <w:rFonts w:ascii="Poppins" w:hAnsi="Poppins" w:eastAsia="Calibri" w:cs="Poppins"/>
                <w:b/>
                <w:bCs/>
                <w:color w:val="A6A6A6" w:themeColor="background1" w:themeShade="A6"/>
                <w:sz w:val="20"/>
                <w:szCs w:val="20"/>
              </w:rPr>
              <w:t>Non</w:t>
            </w:r>
            <w:r w:rsidRPr="00DA0225">
              <w:rPr>
                <w:rFonts w:ascii="Poppins" w:hAnsi="Poppins" w:eastAsia="Calibri" w:cs="Poppins"/>
                <w:b/>
                <w:bCs/>
                <w:color w:val="A6A6A6" w:themeColor="background1" w:themeShade="A6"/>
                <w:sz w:val="20"/>
                <w:szCs w:val="20"/>
              </w:rPr>
              <w:noBreakHyphen/>
            </w:r>
            <w:r w:rsidRPr="00DA0225">
              <w:rPr>
                <w:rFonts w:ascii="Poppins" w:hAnsi="Poppins" w:eastAsia="Calibri" w:cs="Poppins"/>
                <w:b/>
                <w:bCs/>
                <w:color w:val="A6A6A6" w:themeColor="background1" w:themeShade="A6"/>
                <w:sz w:val="20"/>
                <w:szCs w:val="20"/>
              </w:rPr>
              <w:t>Recurrent or Start</w:t>
            </w:r>
            <w:r w:rsidRPr="00DA0225">
              <w:rPr>
                <w:rFonts w:ascii="Poppins" w:hAnsi="Poppins" w:eastAsia="Calibri" w:cs="Poppins"/>
                <w:b/>
                <w:bCs/>
                <w:color w:val="A6A6A6" w:themeColor="background1" w:themeShade="A6"/>
                <w:sz w:val="20"/>
                <w:szCs w:val="20"/>
              </w:rPr>
              <w:noBreakHyphen/>
            </w:r>
            <w:r w:rsidRPr="00DA0225">
              <w:rPr>
                <w:rFonts w:ascii="Poppins" w:hAnsi="Poppins" w:eastAsia="Calibri" w:cs="Poppins"/>
                <w:b/>
                <w:bCs/>
                <w:color w:val="A6A6A6" w:themeColor="background1" w:themeShade="A6"/>
                <w:sz w:val="20"/>
                <w:szCs w:val="20"/>
              </w:rPr>
              <w:t>Up Costs</w:t>
            </w:r>
          </w:p>
          <w:p w:rsidRPr="00DA0225" w:rsidR="00DA0225" w:rsidP="001B36EE" w:rsidRDefault="00DA0225" w14:paraId="4DD19DBF" w14:textId="11FA2F69">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Staff Training &amp; Onboarding</w:t>
            </w:r>
            <w:r w:rsidRPr="00DA0225">
              <w:rPr>
                <w:rFonts w:ascii="Poppins" w:hAnsi="Poppins" w:eastAsia="Calibri" w:cs="Poppins"/>
                <w:color w:val="A6A6A6" w:themeColor="background1" w:themeShade="A6"/>
                <w:sz w:val="20"/>
                <w:szCs w:val="20"/>
              </w:rPr>
              <w:t>: Clinical training for nurses, pharmacists</w:t>
            </w:r>
            <w:r w:rsidR="00810A1F">
              <w:rPr>
                <w:rFonts w:ascii="Poppins" w:hAnsi="Poppins" w:eastAsia="Calibri" w:cs="Poppins"/>
                <w:color w:val="A6A6A6" w:themeColor="background1" w:themeShade="A6"/>
                <w:sz w:val="20"/>
                <w:szCs w:val="20"/>
              </w:rPr>
              <w:t xml:space="preserve"> and clinical teams</w:t>
            </w:r>
            <w:r w:rsidRPr="00DA0225">
              <w:rPr>
                <w:rFonts w:ascii="Poppins" w:hAnsi="Poppins" w:eastAsia="Calibri" w:cs="Poppins"/>
                <w:color w:val="A6A6A6" w:themeColor="background1" w:themeShade="A6"/>
                <w:sz w:val="20"/>
                <w:szCs w:val="20"/>
              </w:rPr>
              <w:t>, administrative staff</w:t>
            </w:r>
          </w:p>
          <w:p w:rsidR="00DA0225" w:rsidP="001B36EE" w:rsidRDefault="00DA0225" w14:paraId="7D9D800D"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Service Design &amp; Project Management</w:t>
            </w:r>
            <w:r w:rsidRPr="00DA0225">
              <w:rPr>
                <w:rFonts w:ascii="Poppins" w:hAnsi="Poppins" w:eastAsia="Calibri" w:cs="Poppins"/>
                <w:color w:val="A6A6A6" w:themeColor="background1" w:themeShade="A6"/>
                <w:sz w:val="20"/>
                <w:szCs w:val="20"/>
              </w:rPr>
              <w:t>: Planning, drafting standard operating procedure (SOPs), governance setup</w:t>
            </w:r>
          </w:p>
          <w:p w:rsidRPr="00DA0225" w:rsidR="00DA0225" w:rsidP="001B36EE" w:rsidRDefault="00DA0225" w14:paraId="723BB8B1" w14:textId="77777777">
            <w:pPr>
              <w:pStyle w:val="ListParagraph"/>
              <w:numPr>
                <w:ilvl w:val="0"/>
                <w:numId w:val="28"/>
              </w:numPr>
              <w:spacing w:after="60"/>
              <w:ind w:left="357" w:hanging="357"/>
              <w:contextualSpacing w:val="0"/>
              <w:rPr>
                <w:rFonts w:ascii="Poppins" w:hAnsi="Poppins" w:eastAsia="Times New Roman" w:cs="Poppins"/>
                <w:b/>
                <w:i/>
                <w:iCs/>
              </w:rPr>
            </w:pPr>
            <w:r w:rsidRPr="00DA0225">
              <w:rPr>
                <w:rFonts w:ascii="Poppins" w:hAnsi="Poppins" w:eastAsia="Calibri" w:cs="Poppins"/>
                <w:b/>
                <w:bCs/>
                <w:color w:val="A6A6A6" w:themeColor="background1" w:themeShade="A6"/>
                <w:sz w:val="20"/>
                <w:szCs w:val="20"/>
              </w:rPr>
              <w:t>Initial Consumables</w:t>
            </w:r>
            <w:r w:rsidRPr="00DA0225">
              <w:rPr>
                <w:rFonts w:ascii="Poppins" w:hAnsi="Poppins" w:eastAsia="Calibri" w:cs="Poppins"/>
                <w:color w:val="A6A6A6" w:themeColor="background1" w:themeShade="A6"/>
                <w:sz w:val="20"/>
                <w:szCs w:val="20"/>
              </w:rPr>
              <w:t>: Starter stock of infusion sets, protective equipment, disposables</w:t>
            </w:r>
          </w:p>
          <w:p w:rsidRPr="00BC77BF" w:rsidR="002D5CF5" w:rsidP="001B36EE" w:rsidRDefault="00DA0225" w14:paraId="0E4EFA70" w14:textId="6E51E862">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Communications &amp; Marketing</w:t>
            </w:r>
            <w:r w:rsidRPr="00DA0225">
              <w:rPr>
                <w:rFonts w:ascii="Poppins" w:hAnsi="Poppins" w:eastAsia="Calibri" w:cs="Poppins"/>
                <w:color w:val="A6A6A6" w:themeColor="background1" w:themeShade="A6"/>
                <w:sz w:val="20"/>
                <w:szCs w:val="20"/>
              </w:rPr>
              <w:t>: Patient information leaflets, referral documentation, awareness campaigns</w:t>
            </w:r>
          </w:p>
          <w:p w:rsidRPr="00DA0225" w:rsidR="002D5CF5" w:rsidP="001B36EE" w:rsidRDefault="002D5CF5" w14:paraId="5368F8FF" w14:textId="39E12B82">
            <w:pPr>
              <w:spacing w:before="240"/>
              <w:rPr>
                <w:rFonts w:ascii="Poppins" w:hAnsi="Poppins" w:eastAsia="Calibri" w:cs="Poppins"/>
                <w:b/>
                <w:bCs/>
                <w:color w:val="A6A6A6" w:themeColor="background1" w:themeShade="A6"/>
                <w:sz w:val="20"/>
                <w:szCs w:val="20"/>
              </w:rPr>
            </w:pPr>
            <w:r w:rsidRPr="00DA0225">
              <w:rPr>
                <w:rFonts w:ascii="Poppins" w:hAnsi="Poppins" w:eastAsia="Calibri" w:cs="Poppins"/>
                <w:b/>
                <w:bCs/>
                <w:color w:val="A6A6A6" w:themeColor="background1" w:themeShade="A6"/>
                <w:sz w:val="20"/>
                <w:szCs w:val="20"/>
              </w:rPr>
              <w:t>Recurrent Costs (Ongoing annual expenditure)</w:t>
            </w:r>
          </w:p>
          <w:p w:rsidRPr="00DA0225" w:rsidR="002D5CF5" w:rsidP="001B36EE" w:rsidRDefault="002D5CF5" w14:paraId="7D252B65"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Staff Salaries</w:t>
            </w:r>
            <w:r w:rsidRPr="00DA0225">
              <w:rPr>
                <w:rFonts w:ascii="Poppins" w:hAnsi="Poppins" w:eastAsia="Calibri" w:cs="Poppins"/>
                <w:color w:val="A6A6A6" w:themeColor="background1" w:themeShade="A6"/>
                <w:sz w:val="20"/>
                <w:szCs w:val="20"/>
              </w:rPr>
              <w:t>: Clinical leads, nurses, pharmacists, administrative support—full-time equivalent (FTE) costs</w:t>
            </w:r>
          </w:p>
          <w:p w:rsidRPr="00DA0225" w:rsidR="002D5CF5" w:rsidP="001B36EE" w:rsidRDefault="002D5CF5" w14:paraId="15FEBCF4"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Consumables &amp; Drugs</w:t>
            </w:r>
            <w:r w:rsidRPr="00DA0225">
              <w:rPr>
                <w:rFonts w:ascii="Poppins" w:hAnsi="Poppins" w:eastAsia="Calibri" w:cs="Poppins"/>
                <w:color w:val="A6A6A6" w:themeColor="background1" w:themeShade="A6"/>
                <w:sz w:val="20"/>
                <w:szCs w:val="20"/>
              </w:rPr>
              <w:t>: Regular use of infusion sets, fluids, medications, sterile disposables</w:t>
            </w:r>
          </w:p>
          <w:p w:rsidRPr="00DA0225" w:rsidR="002D5CF5" w:rsidP="001B36EE" w:rsidRDefault="002D5CF5" w14:paraId="68A38879"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Maintenance &amp; Service Contracts</w:t>
            </w:r>
            <w:r w:rsidRPr="00DA0225">
              <w:rPr>
                <w:rFonts w:ascii="Poppins" w:hAnsi="Poppins" w:eastAsia="Calibri" w:cs="Poppins"/>
                <w:color w:val="A6A6A6" w:themeColor="background1" w:themeShade="A6"/>
                <w:sz w:val="20"/>
                <w:szCs w:val="20"/>
              </w:rPr>
              <w:t>: Equipment upkeep, calibration, external technical support</w:t>
            </w:r>
          </w:p>
          <w:p w:rsidRPr="00DA0225" w:rsidR="002D5CF5" w:rsidP="001B36EE" w:rsidRDefault="002D5CF5" w14:paraId="64B76DC2"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Estate &amp; Utilities</w:t>
            </w:r>
            <w:r w:rsidRPr="00DA0225">
              <w:rPr>
                <w:rFonts w:ascii="Poppins" w:hAnsi="Poppins" w:eastAsia="Calibri" w:cs="Poppins"/>
                <w:color w:val="A6A6A6" w:themeColor="background1" w:themeShade="A6"/>
                <w:sz w:val="20"/>
                <w:szCs w:val="20"/>
              </w:rPr>
              <w:t>: Proportioned lease or depreciation, heating, lighting, waste, cleaning</w:t>
            </w:r>
          </w:p>
          <w:p w:rsidRPr="00DA0225" w:rsidR="002D5CF5" w:rsidP="001B36EE" w:rsidRDefault="002D5CF5" w14:paraId="6BFAA994" w14:textId="77777777">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IT Licenses &amp; Support</w:t>
            </w:r>
            <w:r w:rsidRPr="00DA0225">
              <w:rPr>
                <w:rFonts w:ascii="Poppins" w:hAnsi="Poppins" w:eastAsia="Calibri" w:cs="Poppins"/>
                <w:color w:val="A6A6A6" w:themeColor="background1" w:themeShade="A6"/>
                <w:sz w:val="20"/>
                <w:szCs w:val="20"/>
              </w:rPr>
              <w:t>: Software maintenance, updates, licenses, service desk</w:t>
            </w:r>
          </w:p>
          <w:p w:rsidRPr="002D5CF5" w:rsidR="002D5CF5" w:rsidP="001B36EE" w:rsidRDefault="002D5CF5" w14:paraId="1015333A" w14:textId="3FDD974C">
            <w:pPr>
              <w:pStyle w:val="ListParagraph"/>
              <w:numPr>
                <w:ilvl w:val="0"/>
                <w:numId w:val="28"/>
              </w:numPr>
              <w:spacing w:after="60"/>
              <w:ind w:left="357" w:hanging="357"/>
              <w:contextualSpacing w:val="0"/>
              <w:rPr>
                <w:rFonts w:ascii="Poppins" w:hAnsi="Poppins" w:eastAsia="Calibri" w:cs="Poppins"/>
                <w:color w:val="A6A6A6" w:themeColor="background1" w:themeShade="A6"/>
                <w:sz w:val="20"/>
                <w:szCs w:val="20"/>
              </w:rPr>
            </w:pPr>
            <w:r w:rsidRPr="00DA0225">
              <w:rPr>
                <w:rFonts w:ascii="Poppins" w:hAnsi="Poppins" w:eastAsia="Calibri" w:cs="Poppins"/>
                <w:b/>
                <w:bCs/>
                <w:color w:val="A6A6A6" w:themeColor="background1" w:themeShade="A6"/>
                <w:sz w:val="20"/>
                <w:szCs w:val="20"/>
              </w:rPr>
              <w:t>Governance &amp; Quality Assurance</w:t>
            </w:r>
            <w:r w:rsidRPr="00DA0225">
              <w:rPr>
                <w:rFonts w:ascii="Poppins" w:hAnsi="Poppins" w:eastAsia="Calibri" w:cs="Poppins"/>
                <w:color w:val="A6A6A6" w:themeColor="background1" w:themeShade="A6"/>
                <w:sz w:val="20"/>
                <w:szCs w:val="20"/>
              </w:rPr>
              <w:t>: Audit, compliance, incident investigation, data collection&gt;</w:t>
            </w:r>
          </w:p>
        </w:tc>
      </w:tr>
    </w:tbl>
    <w:p w:rsidR="000E4452" w:rsidP="001B36EE" w:rsidRDefault="000E4452" w14:paraId="78E19A8E" w14:textId="77777777">
      <w:pPr>
        <w:spacing w:line="240" w:lineRule="auto"/>
      </w:pPr>
    </w:p>
    <w:p w:rsidR="00766A2D" w:rsidP="001B36EE" w:rsidRDefault="00766A2D" w14:paraId="11C9AA54" w14:textId="77777777">
      <w:pPr>
        <w:spacing w:line="240" w:lineRule="auto"/>
      </w:pPr>
    </w:p>
    <w:p w:rsidR="00766A2D" w:rsidP="001B36EE" w:rsidRDefault="00766A2D" w14:paraId="661649AA" w14:textId="77777777">
      <w:pPr>
        <w:spacing w:line="240" w:lineRule="auto"/>
      </w:pPr>
    </w:p>
    <w:tbl>
      <w:tblPr>
        <w:tblStyle w:val="TableGrid"/>
        <w:tblW w:w="0" w:type="auto"/>
        <w:tblBorders>
          <w:top w:val="none" w:color="auto" w:sz="0" w:space="0"/>
          <w:left w:val="none" w:color="auto" w:sz="0" w:space="0"/>
          <w:bottom w:val="none" w:color="auto" w:sz="0" w:space="0"/>
          <w:right w:val="none" w:color="auto" w:sz="0" w:space="0"/>
        </w:tblBorders>
        <w:shd w:val="clear" w:color="auto" w:fill="E3E5ED"/>
        <w:tblCellMar>
          <w:top w:w="227" w:type="dxa"/>
          <w:left w:w="284" w:type="dxa"/>
          <w:bottom w:w="227" w:type="dxa"/>
          <w:right w:w="284" w:type="dxa"/>
        </w:tblCellMar>
        <w:tblLook w:val="04A0" w:firstRow="1" w:lastRow="0" w:firstColumn="1" w:lastColumn="0" w:noHBand="0" w:noVBand="1"/>
      </w:tblPr>
      <w:tblGrid>
        <w:gridCol w:w="8630"/>
      </w:tblGrid>
      <w:tr w:rsidRPr="00C43185" w:rsidR="00A1596C" w:rsidTr="000E4452" w14:paraId="2603295D" w14:textId="77777777">
        <w:tc>
          <w:tcPr>
            <w:tcW w:w="8630" w:type="dxa"/>
            <w:tcBorders>
              <w:top w:val="single" w:color="0023C8" w:sz="4" w:space="0"/>
              <w:left w:val="single" w:color="0023C8" w:sz="4" w:space="0"/>
              <w:bottom w:val="nil"/>
              <w:right w:val="single" w:color="0023C8" w:sz="4" w:space="0"/>
            </w:tcBorders>
            <w:shd w:val="clear" w:color="auto" w:fill="FFFFFF" w:themeFill="background1"/>
          </w:tcPr>
          <w:p w:rsidRPr="00C43185" w:rsidR="0070484E" w:rsidP="001B36EE" w:rsidRDefault="0070484E" w14:paraId="44FAB1D1" w14:textId="64D52768">
            <w:pPr>
              <w:spacing w:after="120"/>
              <w:rPr>
                <w:rFonts w:ascii="Poppins" w:hAnsi="Poppins" w:eastAsia="Calibri" w:cs="Poppins"/>
                <w:color w:val="A6A6A6" w:themeColor="background1" w:themeShade="A6"/>
              </w:rPr>
            </w:pPr>
            <w:r w:rsidRPr="00755A81">
              <w:rPr>
                <w:rFonts w:ascii="Poppins" w:hAnsi="Poppins" w:eastAsia="Calibri" w:cs="Poppins"/>
              </w:rPr>
              <w:t xml:space="preserve">See Appendix 5 for </w:t>
            </w:r>
            <w:r w:rsidRPr="00755A81" w:rsidR="00755A81">
              <w:rPr>
                <w:rFonts w:ascii="Poppins" w:hAnsi="Poppins" w:eastAsia="Calibri" w:cs="Poppins"/>
              </w:rPr>
              <w:t xml:space="preserve">infusion service </w:t>
            </w:r>
            <w:r w:rsidRPr="00755A81">
              <w:rPr>
                <w:rFonts w:ascii="Poppins" w:hAnsi="Poppins" w:eastAsia="Calibri" w:cs="Poppins"/>
              </w:rPr>
              <w:t xml:space="preserve">costs </w:t>
            </w:r>
            <w:r w:rsidRPr="00C43185">
              <w:rPr>
                <w:rFonts w:ascii="Poppins" w:hAnsi="Poppins" w:eastAsia="Calibri" w:cs="Poppins"/>
                <w:color w:val="A6A6A6" w:themeColor="background1" w:themeShade="A6"/>
              </w:rPr>
              <w:t>(which can be localised)</w:t>
            </w:r>
          </w:p>
          <w:tbl>
            <w:tblPr>
              <w:tblStyle w:val="LightList-Accent1"/>
              <w:tblW w:w="0" w:type="auto"/>
              <w:jc w:val="center"/>
              <w:tblBorders>
                <w:top w:val="none" w:color="auto" w:sz="0" w:space="0"/>
                <w:left w:val="none" w:color="auto" w:sz="0" w:space="0"/>
                <w:bottom w:val="none" w:color="auto" w:sz="0" w:space="0"/>
                <w:right w:val="none" w:color="auto" w:sz="0" w:space="0"/>
              </w:tblBorders>
              <w:tblLook w:val="04A0" w:firstRow="1" w:lastRow="0" w:firstColumn="1" w:lastColumn="0" w:noHBand="0" w:noVBand="1"/>
            </w:tblPr>
            <w:tblGrid>
              <w:gridCol w:w="1626"/>
              <w:gridCol w:w="1574"/>
              <w:gridCol w:w="1628"/>
              <w:gridCol w:w="1639"/>
              <w:gridCol w:w="1595"/>
            </w:tblGrid>
            <w:tr w:rsidRPr="00C43185" w:rsidR="005C1F0C" w:rsidTr="00F4711F" w14:paraId="4640FB74" w14:textId="77777777">
              <w:trPr>
                <w:cnfStyle w:val="100000000000" w:firstRow="1" w:lastRow="0" w:firstColumn="0" w:lastColumn="0" w:oddVBand="0" w:evenVBand="0" w:oddHBand="0" w:evenHBand="0" w:firstRowFirstColumn="0" w:firstRowLastColumn="0" w:lastRowFirstColumn="0" w:lastRowLastColumn="0"/>
                <w:trHeight w:val="1134"/>
                <w:jc w:val="center"/>
              </w:trPr>
              <w:tc>
                <w:tcPr>
                  <w:cnfStyle w:val="001000000000" w:firstRow="0" w:lastRow="0" w:firstColumn="1" w:lastColumn="0" w:oddVBand="0" w:evenVBand="0" w:oddHBand="0" w:evenHBand="0" w:firstRowFirstColumn="0" w:firstRowLastColumn="0" w:lastRowFirstColumn="0" w:lastRowLastColumn="0"/>
                  <w:tcW w:w="1728" w:type="dxa"/>
                  <w:tcBorders>
                    <w:bottom w:val="single" w:color="FFFFFF" w:themeColor="background1" w:sz="18" w:space="0"/>
                  </w:tcBorders>
                  <w:shd w:val="clear" w:color="auto" w:fill="0096FF"/>
                  <w:vAlign w:val="center"/>
                </w:tcPr>
                <w:p w:rsidRPr="00C43185" w:rsidR="005C1F0C" w:rsidP="001B36EE" w:rsidRDefault="005C1F0C" w14:paraId="55D5337F" w14:textId="77777777">
                  <w:pPr>
                    <w:jc w:val="center"/>
                    <w:rPr>
                      <w:rFonts w:ascii="Poppins" w:hAnsi="Poppins" w:cs="Poppins"/>
                    </w:rPr>
                  </w:pPr>
                  <w:r w:rsidRPr="00C43185">
                    <w:rPr>
                      <w:rFonts w:ascii="Poppins" w:hAnsi="Poppins" w:cs="Poppins"/>
                    </w:rPr>
                    <w:t>Category</w:t>
                  </w:r>
                </w:p>
              </w:tc>
              <w:tc>
                <w:tcPr>
                  <w:tcW w:w="1728" w:type="dxa"/>
                  <w:tcBorders>
                    <w:bottom w:val="single" w:color="FFFFFF" w:themeColor="background1" w:sz="18" w:space="0"/>
                  </w:tcBorders>
                  <w:shd w:val="clear" w:color="auto" w:fill="0096FF"/>
                  <w:vAlign w:val="center"/>
                </w:tcPr>
                <w:p w:rsidRPr="00C43185" w:rsidR="005C1F0C" w:rsidP="001B36EE" w:rsidRDefault="005C1F0C" w14:paraId="6F2579FB"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Capital (one-off)</w:t>
                  </w:r>
                </w:p>
              </w:tc>
              <w:tc>
                <w:tcPr>
                  <w:tcW w:w="1728" w:type="dxa"/>
                  <w:tcBorders>
                    <w:bottom w:val="single" w:color="FFFFFF" w:themeColor="background1" w:sz="18" w:space="0"/>
                  </w:tcBorders>
                  <w:shd w:val="clear" w:color="auto" w:fill="0096FF"/>
                  <w:vAlign w:val="center"/>
                </w:tcPr>
                <w:p w:rsidRPr="00C43185" w:rsidR="005C1F0C" w:rsidP="001B36EE" w:rsidRDefault="005C1F0C" w14:paraId="0BC59324" w14:textId="57B05A6D">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Non-recurrent (start-up)</w:t>
                  </w:r>
                </w:p>
              </w:tc>
              <w:tc>
                <w:tcPr>
                  <w:tcW w:w="1728" w:type="dxa"/>
                  <w:tcBorders>
                    <w:bottom w:val="single" w:color="FFFFFF" w:themeColor="background1" w:sz="18" w:space="0"/>
                  </w:tcBorders>
                  <w:shd w:val="clear" w:color="auto" w:fill="0096FF"/>
                  <w:vAlign w:val="center"/>
                </w:tcPr>
                <w:p w:rsidRPr="00C43185" w:rsidR="005C1F0C" w:rsidP="001B36EE" w:rsidRDefault="005C1F0C" w14:paraId="35AA706B" w14:textId="33B22539">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Recurrent (ongoing annual)</w:t>
                  </w:r>
                </w:p>
              </w:tc>
              <w:tc>
                <w:tcPr>
                  <w:tcW w:w="1728" w:type="dxa"/>
                  <w:tcBorders>
                    <w:bottom w:val="single" w:color="FFFFFF" w:themeColor="background1" w:sz="18" w:space="0"/>
                  </w:tcBorders>
                  <w:shd w:val="clear" w:color="auto" w:fill="0096FF"/>
                  <w:vAlign w:val="center"/>
                </w:tcPr>
                <w:p w:rsidRPr="00C43185" w:rsidR="005C1F0C" w:rsidP="001B36EE" w:rsidRDefault="005C1F0C" w14:paraId="66A79661"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Funding source</w:t>
                  </w:r>
                </w:p>
              </w:tc>
            </w:tr>
            <w:tr w:rsidRPr="00C43185" w:rsidR="005C1F0C" w:rsidTr="00BC77BF" w14:paraId="5AF57991" w14:textId="77777777">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728"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5C1F0C" w:rsidP="001B36EE" w:rsidRDefault="005C1F0C" w14:paraId="45FB606A" w14:textId="77777777">
                  <w:pPr>
                    <w:jc w:val="center"/>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tcBorders>
                  <w:shd w:val="clear" w:color="auto" w:fill="F2F2F2" w:themeFill="background1" w:themeFillShade="F2"/>
                  <w:vAlign w:val="center"/>
                </w:tcPr>
                <w:p w:rsidRPr="00C43185" w:rsidR="005C1F0C" w:rsidP="001B36EE" w:rsidRDefault="005C1F0C" w14:paraId="57AEA317"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tcBorders>
                  <w:shd w:val="clear" w:color="auto" w:fill="F2F2F2" w:themeFill="background1" w:themeFillShade="F2"/>
                  <w:vAlign w:val="center"/>
                </w:tcPr>
                <w:p w:rsidRPr="00C43185" w:rsidR="005C1F0C" w:rsidP="001B36EE" w:rsidRDefault="005C1F0C" w14:paraId="61B3885D"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tcBorders>
                  <w:shd w:val="clear" w:color="auto" w:fill="F2F2F2" w:themeFill="background1" w:themeFillShade="F2"/>
                  <w:vAlign w:val="center"/>
                </w:tcPr>
                <w:p w:rsidRPr="00C43185" w:rsidR="005C1F0C" w:rsidP="001B36EE" w:rsidRDefault="005C1F0C" w14:paraId="3F833DEA"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728"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5C1F0C" w:rsidP="001B36EE" w:rsidRDefault="005C1F0C" w14:paraId="28EB0397"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C43185" w:rsidR="00303B1E" w:rsidP="001B36EE" w:rsidRDefault="00303B1E" w14:paraId="4EC4DBAA" w14:textId="77777777">
            <w:pPr>
              <w:rPr>
                <w:rFonts w:ascii="Poppins" w:hAnsi="Poppins" w:eastAsia="Calibri" w:cs="Poppins"/>
                <w:b/>
                <w:bCs/>
                <w:color w:val="A6A6A6" w:themeColor="background1" w:themeShade="A6"/>
              </w:rPr>
            </w:pPr>
          </w:p>
          <w:p w:rsidRPr="00DA0225" w:rsidR="00A0533B" w:rsidP="001B36EE" w:rsidRDefault="00A0533B" w14:paraId="7F0B0CD9" w14:textId="644018A0">
            <w:pPr>
              <w:pStyle w:val="Heading2"/>
              <w:spacing w:before="0" w:after="120"/>
              <w:rPr>
                <w:rFonts w:ascii="Poppins" w:hAnsi="Poppins" w:cs="Poppins"/>
                <w:color w:val="0023C8"/>
              </w:rPr>
            </w:pPr>
            <w:bookmarkStart w:name="_Toc229391540" w:id="21"/>
            <w:r w:rsidRPr="00DA0225">
              <w:rPr>
                <w:rFonts w:ascii="Poppins" w:hAnsi="Poppins" w:cs="Poppins"/>
                <w:color w:val="0023C8"/>
              </w:rPr>
              <w:t>4.2 Funding</w:t>
            </w:r>
            <w:bookmarkEnd w:id="21"/>
            <w:r w:rsidRPr="00DA0225">
              <w:rPr>
                <w:rFonts w:ascii="Poppins" w:hAnsi="Poppins" w:cs="Poppins"/>
                <w:color w:val="0023C8"/>
              </w:rPr>
              <w:t xml:space="preserve"> </w:t>
            </w:r>
          </w:p>
          <w:p w:rsidR="00303B1E" w:rsidP="001B36EE" w:rsidRDefault="00A0533B" w14:paraId="7C0E8091" w14:textId="7BCD029B">
            <w:pPr>
              <w:rPr>
                <w:rFonts w:ascii="Poppins" w:hAnsi="Poppins" w:eastAsia="Calibri" w:cs="Poppins"/>
                <w:color w:val="A6A6A6" w:themeColor="background1" w:themeShade="A6"/>
              </w:rPr>
            </w:pPr>
            <w:r w:rsidRPr="00C43185">
              <w:rPr>
                <w:rFonts w:ascii="Poppins" w:hAnsi="Poppins" w:eastAsia="Calibri" w:cs="Poppins"/>
                <w:color w:val="A6A6A6" w:themeColor="background1" w:themeShade="A6"/>
              </w:rPr>
              <w:t>&lt;Use this</w:t>
            </w:r>
            <w:r w:rsidRPr="00C43185" w:rsidR="00F063C6">
              <w:rPr>
                <w:rFonts w:ascii="Poppins" w:hAnsi="Poppins" w:eastAsia="Calibri" w:cs="Poppins"/>
                <w:color w:val="A6A6A6" w:themeColor="background1" w:themeShade="A6"/>
              </w:rPr>
              <w:t xml:space="preserve"> section</w:t>
            </w:r>
            <w:r w:rsidRPr="00C43185">
              <w:rPr>
                <w:rFonts w:ascii="Poppins" w:hAnsi="Poppins" w:eastAsia="Calibri" w:cs="Poppins"/>
                <w:color w:val="A6A6A6" w:themeColor="background1" w:themeShade="A6"/>
              </w:rPr>
              <w:t xml:space="preserve"> to explain funding streams and approvals route. </w:t>
            </w:r>
            <w:r w:rsidR="003D1DF7">
              <w:rPr>
                <w:rFonts w:ascii="Poppins" w:hAnsi="Poppins" w:eastAsia="Calibri" w:cs="Poppins"/>
                <w:color w:val="A6A6A6" w:themeColor="background1" w:themeShade="A6"/>
              </w:rPr>
              <w:br/>
            </w:r>
            <w:r w:rsidRPr="00C43185">
              <w:rPr>
                <w:rFonts w:ascii="Poppins" w:hAnsi="Poppins" w:eastAsia="Calibri" w:cs="Poppins"/>
                <w:color w:val="A6A6A6" w:themeColor="background1" w:themeShade="A6"/>
              </w:rPr>
              <w:t xml:space="preserve">Detail which elements of the service do and do not require additional funding. For additional funding state the process for applying for funding and how this will be approved, e.g., for drugs, via </w:t>
            </w:r>
            <w:r w:rsidR="00447C45">
              <w:rPr>
                <w:rFonts w:ascii="Poppins" w:hAnsi="Poppins" w:eastAsia="Calibri" w:cs="Poppins"/>
                <w:color w:val="A6A6A6" w:themeColor="background1" w:themeShade="A6"/>
              </w:rPr>
              <w:t>medicines management committees’</w:t>
            </w:r>
            <w:r w:rsidRPr="00C43185" w:rsidR="0099547D">
              <w:rPr>
                <w:rFonts w:ascii="Poppins" w:hAnsi="Poppins" w:eastAsia="Calibri" w:cs="Poppins"/>
                <w:color w:val="A6A6A6" w:themeColor="background1" w:themeShade="A6"/>
              </w:rPr>
              <w:t xml:space="preserve"> processes</w:t>
            </w:r>
            <w:r w:rsidRPr="00C43185" w:rsidR="00885DA9">
              <w:rPr>
                <w:rFonts w:ascii="Poppins" w:hAnsi="Poppins" w:eastAsia="Calibri" w:cs="Poppins"/>
                <w:color w:val="A6A6A6" w:themeColor="background1" w:themeShade="A6"/>
              </w:rPr>
              <w:t>.</w:t>
            </w:r>
            <w:r w:rsidRPr="00C43185" w:rsidR="0099547D">
              <w:rPr>
                <w:rFonts w:ascii="Poppins" w:hAnsi="Poppins" w:eastAsia="Calibri" w:cs="Poppins"/>
                <w:color w:val="A6A6A6" w:themeColor="background1" w:themeShade="A6"/>
              </w:rPr>
              <w:t>&gt;</w:t>
            </w:r>
          </w:p>
          <w:p w:rsidR="002B53C2" w:rsidP="001B36EE" w:rsidRDefault="00664982" w14:paraId="2B353506" w14:textId="77777777">
            <w:pPr>
              <w:rPr>
                <w:rFonts w:ascii="Poppins" w:hAnsi="Poppins" w:eastAsia="Calibri" w:cs="Poppins"/>
                <w:color w:val="A6A6A6" w:themeColor="background1" w:themeShade="A6"/>
              </w:rPr>
            </w:pPr>
            <w:r>
              <w:rPr>
                <w:rFonts w:ascii="Poppins" w:hAnsi="Poppins" w:eastAsia="Calibri" w:cs="Poppins"/>
                <w:color w:val="A6A6A6" w:themeColor="background1" w:themeShade="A6"/>
              </w:rPr>
              <w:t>&lt;</w:t>
            </w:r>
            <w:r w:rsidR="002B53C2">
              <w:rPr>
                <w:rFonts w:ascii="Poppins" w:hAnsi="Poppins" w:eastAsia="Calibri" w:cs="Poppins"/>
                <w:color w:val="A6A6A6" w:themeColor="background1" w:themeShade="A6"/>
              </w:rPr>
              <w:t>Funding of service costs will depend on local payment arrangements:</w:t>
            </w:r>
          </w:p>
          <w:p w:rsidR="002B53C2" w:rsidP="001B36EE" w:rsidRDefault="002B53C2" w14:paraId="71A384A1" w14:textId="5348CB2F">
            <w:pPr>
              <w:pStyle w:val="ListParagraph"/>
              <w:numPr>
                <w:ilvl w:val="0"/>
                <w:numId w:val="52"/>
              </w:numPr>
              <w:ind w:left="360"/>
              <w:rPr>
                <w:rFonts w:ascii="Poppins" w:hAnsi="Poppins" w:eastAsia="Calibri" w:cs="Poppins"/>
                <w:color w:val="A6A6A6" w:themeColor="background1" w:themeShade="A6"/>
              </w:rPr>
            </w:pPr>
            <w:r>
              <w:rPr>
                <w:rFonts w:ascii="Poppins" w:hAnsi="Poppins" w:eastAsia="Calibri" w:cs="Poppins"/>
                <w:color w:val="A6A6A6" w:themeColor="background1" w:themeShade="A6"/>
              </w:rPr>
              <w:t>If ICB</w:t>
            </w:r>
            <w:r w:rsidR="0058732A">
              <w:rPr>
                <w:rFonts w:ascii="Poppins" w:hAnsi="Poppins" w:eastAsia="Calibri" w:cs="Poppins"/>
                <w:color w:val="A6A6A6" w:themeColor="background1" w:themeShade="A6"/>
              </w:rPr>
              <w:t>s</w:t>
            </w:r>
            <w:r>
              <w:rPr>
                <w:rFonts w:ascii="Poppins" w:hAnsi="Poppins" w:eastAsia="Calibri" w:cs="Poppins"/>
                <w:color w:val="A6A6A6" w:themeColor="background1" w:themeShade="A6"/>
              </w:rPr>
              <w:t xml:space="preserve"> and Trusts have agreed a block contract, the Trust is responsible for all service costs. A local process may need to be put into place for charging for patients out of area if the service model includes wider than ICB patient population</w:t>
            </w:r>
          </w:p>
          <w:p w:rsidRPr="002B53C2" w:rsidR="00664982" w:rsidP="001B36EE" w:rsidRDefault="002B53C2" w14:paraId="0E6E6134" w14:textId="1BBDF99D">
            <w:pPr>
              <w:pStyle w:val="ListParagraph"/>
              <w:numPr>
                <w:ilvl w:val="0"/>
                <w:numId w:val="52"/>
              </w:numPr>
              <w:rPr>
                <w:rFonts w:ascii="Poppins" w:hAnsi="Poppins" w:eastAsia="Calibri" w:cs="Poppins"/>
                <w:color w:val="A6A6A6" w:themeColor="background1" w:themeShade="A6"/>
              </w:rPr>
            </w:pPr>
            <w:r>
              <w:rPr>
                <w:rFonts w:ascii="Poppins" w:hAnsi="Poppins" w:eastAsia="Calibri" w:cs="Poppins"/>
                <w:color w:val="A6A6A6" w:themeColor="background1" w:themeShade="A6"/>
              </w:rPr>
              <w:t xml:space="preserve">If Trusts consider elements of the service cost may be met </w:t>
            </w:r>
            <w:proofErr w:type="gramStart"/>
            <w:r>
              <w:rPr>
                <w:rFonts w:ascii="Poppins" w:hAnsi="Poppins" w:eastAsia="Calibri" w:cs="Poppins"/>
                <w:color w:val="A6A6A6" w:themeColor="background1" w:themeShade="A6"/>
              </w:rPr>
              <w:t>by  ICB</w:t>
            </w:r>
            <w:r w:rsidR="0058732A">
              <w:rPr>
                <w:rFonts w:ascii="Poppins" w:hAnsi="Poppins" w:eastAsia="Calibri" w:cs="Poppins"/>
                <w:color w:val="A6A6A6" w:themeColor="background1" w:themeShade="A6"/>
              </w:rPr>
              <w:t>s</w:t>
            </w:r>
            <w:proofErr w:type="gramEnd"/>
            <w:r>
              <w:rPr>
                <w:rFonts w:ascii="Poppins" w:hAnsi="Poppins" w:eastAsia="Calibri" w:cs="Poppins"/>
                <w:color w:val="A6A6A6" w:themeColor="background1" w:themeShade="A6"/>
              </w:rPr>
              <w:t xml:space="preserve">, e.g., patient transport, </w:t>
            </w:r>
            <w:r w:rsidR="0058732A">
              <w:rPr>
                <w:rFonts w:ascii="Poppins" w:hAnsi="Poppins" w:eastAsia="Calibri" w:cs="Poppins"/>
                <w:color w:val="A6A6A6" w:themeColor="background1" w:themeShade="A6"/>
              </w:rPr>
              <w:t>a mechanism needs to be in place to recharge these costs to the ICB in which the patient is registered&gt;</w:t>
            </w:r>
          </w:p>
          <w:p w:rsidRPr="00C43185" w:rsidR="00DA0225" w:rsidP="001B36EE" w:rsidRDefault="00DA0225" w14:paraId="69DC2AA7" w14:textId="77777777">
            <w:pPr>
              <w:rPr>
                <w:rFonts w:ascii="Poppins" w:hAnsi="Poppins" w:eastAsia="Calibri" w:cs="Poppins"/>
                <w:color w:val="A6A6A6" w:themeColor="background1" w:themeShade="A6"/>
              </w:rPr>
            </w:pPr>
          </w:p>
          <w:p w:rsidRPr="00DA0225" w:rsidR="0099547D" w:rsidP="001B36EE" w:rsidRDefault="0099547D" w14:paraId="2CAB645F" w14:textId="7265B8BC">
            <w:pPr>
              <w:pStyle w:val="Heading2"/>
              <w:spacing w:before="0"/>
              <w:rPr>
                <w:rFonts w:ascii="Poppins" w:hAnsi="Poppins" w:cs="Poppins"/>
                <w:color w:val="0023C8"/>
              </w:rPr>
            </w:pPr>
            <w:bookmarkStart w:name="_Toc229391541" w:id="22"/>
            <w:r w:rsidRPr="00DA0225">
              <w:rPr>
                <w:rFonts w:ascii="Poppins" w:hAnsi="Poppins" w:cs="Poppins"/>
                <w:color w:val="0023C8"/>
              </w:rPr>
              <w:t xml:space="preserve">4.3 </w:t>
            </w:r>
            <w:r w:rsidR="0001227D">
              <w:rPr>
                <w:rFonts w:ascii="Poppins" w:hAnsi="Poppins" w:cs="Poppins"/>
                <w:color w:val="0023C8"/>
              </w:rPr>
              <w:t>Ongoing costs</w:t>
            </w:r>
            <w:r w:rsidRPr="00DA0225">
              <w:rPr>
                <w:rFonts w:ascii="Poppins" w:hAnsi="Poppins" w:cs="Poppins"/>
                <w:color w:val="0023C8"/>
              </w:rPr>
              <w:t xml:space="preserve"> and affordability</w:t>
            </w:r>
            <w:bookmarkEnd w:id="22"/>
          </w:p>
          <w:p w:rsidRPr="00C43185" w:rsidR="0099547D" w:rsidP="001B36EE" w:rsidRDefault="0099547D" w14:paraId="245B97C1" w14:textId="1EECC769">
            <w:pPr>
              <w:spacing w:after="240"/>
              <w:rPr>
                <w:rFonts w:ascii="Poppins" w:hAnsi="Poppins" w:eastAsia="Calibri" w:cs="Poppins"/>
                <w:color w:val="A6A6A6" w:themeColor="background1" w:themeShade="A6"/>
              </w:rPr>
            </w:pPr>
            <w:r w:rsidRPr="00C43185">
              <w:rPr>
                <w:rFonts w:ascii="Poppins" w:hAnsi="Poppins" w:eastAsia="Calibri" w:cs="Poppins"/>
                <w:color w:val="A6A6A6" w:themeColor="background1" w:themeShade="A6"/>
              </w:rPr>
              <w:t>&lt;Use the above information to populate the table below to demonstrate service costs over time starting in year 1</w:t>
            </w:r>
            <w:r w:rsidRPr="00C43185" w:rsidR="00154F60">
              <w:rPr>
                <w:rFonts w:ascii="Poppins" w:hAnsi="Poppins" w:eastAsia="Calibri" w:cs="Poppins"/>
                <w:color w:val="A6A6A6" w:themeColor="background1" w:themeShade="A6"/>
              </w:rPr>
              <w:t>.</w:t>
            </w:r>
            <w:r w:rsidRPr="00C43185">
              <w:rPr>
                <w:rFonts w:ascii="Poppins" w:hAnsi="Poppins" w:eastAsia="Calibri" w:cs="Poppins"/>
                <w:color w:val="A6A6A6" w:themeColor="background1" w:themeShade="A6"/>
              </w:rPr>
              <w:t>&gt;</w:t>
            </w:r>
          </w:p>
          <w:tbl>
            <w:tblPr>
              <w:tblStyle w:val="LightList-Accent1"/>
              <w:tblW w:w="0" w:type="auto"/>
              <w:jc w:val="center"/>
              <w:tblBorders>
                <w:top w:val="none" w:color="auto" w:sz="0" w:space="0"/>
                <w:left w:val="none" w:color="auto" w:sz="0" w:space="0"/>
                <w:bottom w:val="none" w:color="auto" w:sz="0" w:space="0"/>
                <w:right w:val="none" w:color="auto" w:sz="0" w:space="0"/>
              </w:tblBorders>
              <w:tblLook w:val="04A0" w:firstRow="1" w:lastRow="0" w:firstColumn="1" w:lastColumn="0" w:noHBand="0" w:noVBand="1"/>
            </w:tblPr>
            <w:tblGrid>
              <w:gridCol w:w="1259"/>
              <w:gridCol w:w="1332"/>
              <w:gridCol w:w="1374"/>
              <w:gridCol w:w="1260"/>
              <w:gridCol w:w="1555"/>
              <w:gridCol w:w="1282"/>
            </w:tblGrid>
            <w:tr w:rsidRPr="00C43185" w:rsidR="0099547D" w:rsidTr="00F4711F" w14:paraId="0A2F0414" w14:textId="77777777">
              <w:trPr>
                <w:cnfStyle w:val="100000000000" w:firstRow="1" w:lastRow="0" w:firstColumn="0" w:lastColumn="0" w:oddVBand="0" w:evenVBand="0" w:oddHBand="0"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440" w:type="dxa"/>
                  <w:tcBorders>
                    <w:bottom w:val="single" w:color="FFFFFF" w:themeColor="background1" w:sz="18" w:space="0"/>
                  </w:tcBorders>
                  <w:shd w:val="clear" w:color="auto" w:fill="0096FF"/>
                  <w:vAlign w:val="center"/>
                </w:tcPr>
                <w:p w:rsidRPr="00C43185" w:rsidR="0099547D" w:rsidP="001B36EE" w:rsidRDefault="0099547D" w14:paraId="598BBC4D" w14:textId="77777777">
                  <w:pPr>
                    <w:jc w:val="center"/>
                    <w:rPr>
                      <w:rFonts w:ascii="Poppins" w:hAnsi="Poppins" w:cs="Poppins"/>
                    </w:rPr>
                  </w:pPr>
                  <w:r w:rsidRPr="00C43185">
                    <w:rPr>
                      <w:rFonts w:ascii="Poppins" w:hAnsi="Poppins" w:cs="Poppins"/>
                    </w:rPr>
                    <w:t>Year</w:t>
                  </w:r>
                </w:p>
              </w:tc>
              <w:tc>
                <w:tcPr>
                  <w:tcW w:w="1440" w:type="dxa"/>
                  <w:tcBorders>
                    <w:bottom w:val="single" w:color="FFFFFF" w:themeColor="background1" w:sz="18" w:space="0"/>
                  </w:tcBorders>
                  <w:shd w:val="clear" w:color="auto" w:fill="0096FF"/>
                  <w:vAlign w:val="center"/>
                </w:tcPr>
                <w:p w:rsidRPr="00C43185" w:rsidR="0099547D" w:rsidP="001B36EE" w:rsidRDefault="0099547D" w14:paraId="60C3B368"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Capital</w:t>
                  </w:r>
                </w:p>
              </w:tc>
              <w:tc>
                <w:tcPr>
                  <w:tcW w:w="1440" w:type="dxa"/>
                  <w:tcBorders>
                    <w:bottom w:val="single" w:color="FFFFFF" w:themeColor="background1" w:sz="18" w:space="0"/>
                  </w:tcBorders>
                  <w:shd w:val="clear" w:color="auto" w:fill="0096FF"/>
                  <w:vAlign w:val="center"/>
                </w:tcPr>
                <w:p w:rsidRPr="00C43185" w:rsidR="0099547D" w:rsidP="001B36EE" w:rsidRDefault="0099547D" w14:paraId="4EC68A07"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Revenue</w:t>
                  </w:r>
                </w:p>
              </w:tc>
              <w:tc>
                <w:tcPr>
                  <w:tcW w:w="1440" w:type="dxa"/>
                  <w:tcBorders>
                    <w:bottom w:val="single" w:color="FFFFFF" w:themeColor="background1" w:sz="18" w:space="0"/>
                  </w:tcBorders>
                  <w:shd w:val="clear" w:color="auto" w:fill="0096FF"/>
                  <w:vAlign w:val="center"/>
                </w:tcPr>
                <w:p w:rsidRPr="00C43185" w:rsidR="0099547D" w:rsidP="001B36EE" w:rsidRDefault="0099547D" w14:paraId="31AA01F0"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Total</w:t>
                  </w:r>
                </w:p>
              </w:tc>
              <w:tc>
                <w:tcPr>
                  <w:tcW w:w="1440" w:type="dxa"/>
                  <w:tcBorders>
                    <w:bottom w:val="single" w:color="FFFFFF" w:themeColor="background1" w:sz="18" w:space="0"/>
                  </w:tcBorders>
                  <w:shd w:val="clear" w:color="auto" w:fill="0096FF"/>
                  <w:vAlign w:val="center"/>
                </w:tcPr>
                <w:p w:rsidRPr="00C43185" w:rsidR="0099547D" w:rsidP="001B36EE" w:rsidRDefault="0099547D" w14:paraId="62193465"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Cumulative</w:t>
                  </w:r>
                </w:p>
              </w:tc>
              <w:tc>
                <w:tcPr>
                  <w:tcW w:w="1440" w:type="dxa"/>
                  <w:tcBorders>
                    <w:bottom w:val="single" w:color="FFFFFF" w:themeColor="background1" w:sz="18" w:space="0"/>
                  </w:tcBorders>
                  <w:shd w:val="clear" w:color="auto" w:fill="0096FF"/>
                  <w:vAlign w:val="center"/>
                </w:tcPr>
                <w:p w:rsidRPr="00C43185" w:rsidR="0099547D" w:rsidP="001B36EE" w:rsidRDefault="0099547D" w14:paraId="7BFBE938"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Notes</w:t>
                  </w:r>
                </w:p>
              </w:tc>
            </w:tr>
            <w:tr w:rsidRPr="00C43185" w:rsidR="0099547D" w:rsidTr="00BC77BF" w14:paraId="77BBAB03" w14:textId="77777777">
              <w:trPr>
                <w:cnfStyle w:val="000000100000" w:firstRow="0" w:lastRow="0" w:firstColumn="0" w:lastColumn="0" w:oddVBand="0" w:evenVBand="0" w:oddHBand="1" w:evenHBand="0" w:firstRowFirstColumn="0" w:firstRowLastColumn="0" w:lastRowFirstColumn="0" w:lastRowLastColumn="0"/>
                <w:trHeight w:val="906"/>
                <w:jc w:val="center"/>
              </w:trPr>
              <w:tc>
                <w:tcPr>
                  <w:cnfStyle w:val="001000000000" w:firstRow="0" w:lastRow="0" w:firstColumn="1" w:lastColumn="0" w:oddVBand="0" w:evenVBand="0" w:oddHBand="0" w:evenHBand="0" w:firstRowFirstColumn="0" w:firstRowLastColumn="0" w:lastRowFirstColumn="0" w:lastRowLastColumn="0"/>
                  <w:tcW w:w="1440"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99547D" w:rsidP="001B36EE" w:rsidRDefault="0099547D" w14:paraId="48BC3B1F" w14:textId="77777777">
                  <w:pPr>
                    <w:jc w:val="center"/>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99547D" w:rsidP="001B36EE" w:rsidRDefault="0099547D" w14:paraId="7834F584"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99547D" w:rsidP="001B36EE" w:rsidRDefault="0099547D" w14:paraId="22BBC051" w14:textId="268B82D3">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766A2D">
                    <w:rPr>
                      <w:rFonts w:ascii="Poppins" w:hAnsi="Poppins" w:cs="Poppins"/>
                    </w:rPr>
                    <w:br/>
                  </w:r>
                  <w:r w:rsidRPr="00C43185">
                    <w:rPr>
                      <w:rFonts w:ascii="Poppins" w:hAnsi="Poppins" w:cs="Poppins"/>
                    </w:rPr>
                    <w:t>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99547D" w:rsidP="001B36EE" w:rsidRDefault="0099547D" w14:paraId="17CDA48B"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99547D" w:rsidP="001B36EE" w:rsidRDefault="0099547D" w14:paraId="472E160D" w14:textId="512696EB">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766A2D">
                    <w:rPr>
                      <w:rFonts w:ascii="Poppins" w:hAnsi="Poppins" w:cs="Poppins"/>
                    </w:rPr>
                    <w:br/>
                  </w:r>
                  <w:r w:rsidRPr="00C43185">
                    <w:rPr>
                      <w:rFonts w:ascii="Poppins" w:hAnsi="Poppins" w:cs="Poppins"/>
                    </w:rPr>
                    <w:t>text&gt;</w:t>
                  </w:r>
                </w:p>
              </w:tc>
              <w:tc>
                <w:tcPr>
                  <w:tcW w:w="1440"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99547D" w:rsidP="001B36EE" w:rsidRDefault="0099547D" w14:paraId="4E10DB58"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C43185" w:rsidR="00B10AF9" w:rsidP="001B36EE" w:rsidRDefault="00B10AF9" w14:paraId="5E1D52ED" w14:textId="3273EAFE">
            <w:pPr>
              <w:rPr>
                <w:rFonts w:ascii="Poppins" w:hAnsi="Poppins" w:cs="Poppins"/>
              </w:rPr>
            </w:pPr>
          </w:p>
        </w:tc>
      </w:tr>
      <w:tr w:rsidRPr="00C43185" w:rsidR="00DA0225" w:rsidTr="00766A2D" w14:paraId="14CB5A30" w14:textId="77777777">
        <w:trPr>
          <w:trHeight w:val="3516"/>
        </w:trPr>
        <w:tc>
          <w:tcPr>
            <w:tcW w:w="8630" w:type="dxa"/>
            <w:tcBorders>
              <w:top w:val="nil"/>
              <w:left w:val="single" w:color="0023C8" w:sz="4" w:space="0"/>
              <w:bottom w:val="single" w:color="0023C8" w:sz="4" w:space="0"/>
              <w:right w:val="single" w:color="0023C8" w:sz="4" w:space="0"/>
            </w:tcBorders>
          </w:tcPr>
          <w:p w:rsidRPr="00DA0225" w:rsidR="00DA0225" w:rsidP="001B36EE" w:rsidRDefault="00DA0225" w14:paraId="4F786A4B" w14:textId="77777777">
            <w:pPr>
              <w:pStyle w:val="Heading2"/>
              <w:spacing w:before="0"/>
              <w:rPr>
                <w:rFonts w:ascii="Poppins" w:hAnsi="Poppins" w:cs="Poppins"/>
                <w:color w:val="0023C8"/>
              </w:rPr>
            </w:pPr>
            <w:bookmarkStart w:name="_Toc229391542" w:id="23"/>
            <w:r w:rsidRPr="00DA0225">
              <w:rPr>
                <w:rFonts w:ascii="Poppins" w:hAnsi="Poppins" w:cs="Poppins"/>
                <w:color w:val="0023C8"/>
              </w:rPr>
              <w:t>4.4 Procurement</w:t>
            </w:r>
            <w:bookmarkEnd w:id="23"/>
          </w:p>
          <w:p w:rsidRPr="00C43185" w:rsidR="00DA0225" w:rsidP="001B36EE" w:rsidRDefault="00DA0225" w14:paraId="59929497" w14:textId="77777777">
            <w:pPr>
              <w:rPr>
                <w:rFonts w:ascii="Poppins" w:hAnsi="Poppins" w:eastAsia="Calibri" w:cs="Poppins"/>
                <w:color w:val="A6A6A6" w:themeColor="background1" w:themeShade="A6"/>
              </w:rPr>
            </w:pPr>
            <w:r w:rsidRPr="00C43185">
              <w:rPr>
                <w:rFonts w:ascii="Poppins" w:hAnsi="Poppins" w:eastAsia="Calibri" w:cs="Poppins"/>
                <w:color w:val="A6A6A6" w:themeColor="background1" w:themeShade="A6"/>
              </w:rPr>
              <w:t>&lt;Use this section to outline the procurement route for drug, consumables, e.g., PVC bags, and any homecare/outsourced elements.</w:t>
            </w:r>
          </w:p>
          <w:p w:rsidR="00DA0225" w:rsidP="001B36EE" w:rsidRDefault="00DA0225" w14:paraId="7793DE66" w14:textId="7CAAC1A9">
            <w:pPr>
              <w:spacing w:after="240"/>
              <w:rPr>
                <w:rFonts w:ascii="Poppins" w:hAnsi="Poppins" w:eastAsia="Calibri" w:cs="Poppins"/>
                <w:color w:val="A6A6A6" w:themeColor="background1" w:themeShade="A6"/>
              </w:rPr>
            </w:pPr>
            <w:r w:rsidRPr="00C43185">
              <w:rPr>
                <w:rFonts w:ascii="Poppins" w:hAnsi="Poppins" w:eastAsia="Calibri" w:cs="Poppins"/>
                <w:color w:val="A6A6A6" w:themeColor="background1" w:themeShade="A6"/>
              </w:rPr>
              <w:t>For outsourced contracting, e.g., aseptic services, and homecare, the following table can be used to provide contracting information.&gt;</w:t>
            </w:r>
          </w:p>
          <w:tbl>
            <w:tblPr>
              <w:tblStyle w:val="LightList-Accent1"/>
              <w:tblW w:w="0" w:type="auto"/>
              <w:jc w:val="center"/>
              <w:tblBorders>
                <w:top w:val="none" w:color="auto" w:sz="0" w:space="0"/>
                <w:left w:val="none" w:color="auto" w:sz="0" w:space="0"/>
                <w:bottom w:val="none" w:color="auto" w:sz="0" w:space="0"/>
                <w:right w:val="none" w:color="auto" w:sz="0" w:space="0"/>
              </w:tblBorders>
              <w:tblLook w:val="04A0" w:firstRow="1" w:lastRow="0" w:firstColumn="1" w:lastColumn="0" w:noHBand="0" w:noVBand="1"/>
            </w:tblPr>
            <w:tblGrid>
              <w:gridCol w:w="1371"/>
              <w:gridCol w:w="1349"/>
              <w:gridCol w:w="1237"/>
              <w:gridCol w:w="1362"/>
              <w:gridCol w:w="1328"/>
              <w:gridCol w:w="1415"/>
            </w:tblGrid>
            <w:tr w:rsidRPr="00C43185" w:rsidR="00DA0225" w:rsidTr="00F4711F" w14:paraId="58DCCE36" w14:textId="77777777">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440" w:type="dxa"/>
                  <w:tcBorders>
                    <w:bottom w:val="single" w:color="FFFFFF" w:themeColor="background1" w:sz="18" w:space="0"/>
                  </w:tcBorders>
                  <w:shd w:val="clear" w:color="auto" w:fill="0096FF"/>
                  <w:vAlign w:val="center"/>
                </w:tcPr>
                <w:p w:rsidRPr="00C43185" w:rsidR="00DA0225" w:rsidP="001B36EE" w:rsidRDefault="00DA0225" w14:paraId="083D040A" w14:textId="77777777">
                  <w:pPr>
                    <w:jc w:val="center"/>
                    <w:rPr>
                      <w:rFonts w:ascii="Poppins" w:hAnsi="Poppins" w:cs="Poppins"/>
                    </w:rPr>
                  </w:pPr>
                  <w:r w:rsidRPr="00C43185">
                    <w:rPr>
                      <w:rFonts w:ascii="Poppins" w:hAnsi="Poppins" w:cs="Poppins"/>
                    </w:rPr>
                    <w:t>Contract</w:t>
                  </w:r>
                </w:p>
              </w:tc>
              <w:tc>
                <w:tcPr>
                  <w:tcW w:w="1440" w:type="dxa"/>
                  <w:tcBorders>
                    <w:bottom w:val="single" w:color="FFFFFF" w:themeColor="background1" w:sz="18" w:space="0"/>
                  </w:tcBorders>
                  <w:shd w:val="clear" w:color="auto" w:fill="0096FF"/>
                  <w:vAlign w:val="center"/>
                </w:tcPr>
                <w:p w:rsidRPr="00C43185" w:rsidR="00DA0225" w:rsidP="001B36EE" w:rsidRDefault="00DA0225" w14:paraId="27D0A949"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Supplier</w:t>
                  </w:r>
                </w:p>
              </w:tc>
              <w:tc>
                <w:tcPr>
                  <w:tcW w:w="1440" w:type="dxa"/>
                  <w:tcBorders>
                    <w:bottom w:val="single" w:color="FFFFFF" w:themeColor="background1" w:sz="18" w:space="0"/>
                  </w:tcBorders>
                  <w:shd w:val="clear" w:color="auto" w:fill="0096FF"/>
                  <w:vAlign w:val="center"/>
                </w:tcPr>
                <w:p w:rsidRPr="00C43185" w:rsidR="00DA0225" w:rsidP="001B36EE" w:rsidRDefault="00DA0225" w14:paraId="0AFB0B19"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Term</w:t>
                  </w:r>
                </w:p>
              </w:tc>
              <w:tc>
                <w:tcPr>
                  <w:tcW w:w="1440" w:type="dxa"/>
                  <w:tcBorders>
                    <w:bottom w:val="single" w:color="FFFFFF" w:themeColor="background1" w:sz="18" w:space="0"/>
                  </w:tcBorders>
                  <w:shd w:val="clear" w:color="auto" w:fill="0096FF"/>
                  <w:vAlign w:val="center"/>
                </w:tcPr>
                <w:p w:rsidRPr="00C43185" w:rsidR="00DA0225" w:rsidP="001B36EE" w:rsidRDefault="00DA0225" w14:paraId="5BE56CB0"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KPI/SLAs</w:t>
                  </w:r>
                </w:p>
              </w:tc>
              <w:tc>
                <w:tcPr>
                  <w:tcW w:w="1440" w:type="dxa"/>
                  <w:tcBorders>
                    <w:bottom w:val="single" w:color="FFFFFF" w:themeColor="background1" w:sz="18" w:space="0"/>
                  </w:tcBorders>
                  <w:shd w:val="clear" w:color="auto" w:fill="0096FF"/>
                  <w:vAlign w:val="center"/>
                </w:tcPr>
                <w:p w:rsidRPr="00C43185" w:rsidR="00DA0225" w:rsidP="001B36EE" w:rsidRDefault="00DA0225" w14:paraId="0B877508"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Break clauses</w:t>
                  </w:r>
                </w:p>
              </w:tc>
              <w:tc>
                <w:tcPr>
                  <w:tcW w:w="1440" w:type="dxa"/>
                  <w:tcBorders>
                    <w:bottom w:val="single" w:color="FFFFFF" w:themeColor="background1" w:sz="18" w:space="0"/>
                  </w:tcBorders>
                  <w:shd w:val="clear" w:color="auto" w:fill="0096FF"/>
                  <w:vAlign w:val="center"/>
                </w:tcPr>
                <w:p w:rsidRPr="00C43185" w:rsidR="00DA0225" w:rsidP="001B36EE" w:rsidRDefault="00DA0225" w14:paraId="66A16642"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Risk allocation</w:t>
                  </w:r>
                </w:p>
              </w:tc>
            </w:tr>
            <w:tr w:rsidRPr="00C43185" w:rsidR="00DA0225" w:rsidTr="00BC77BF" w14:paraId="0A68022B" w14:textId="77777777">
              <w:trPr>
                <w:cnfStyle w:val="000000100000" w:firstRow="0" w:lastRow="0" w:firstColumn="0" w:lastColumn="0" w:oddVBand="0" w:evenVBand="0" w:oddHBand="1"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440"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DA0225" w:rsidP="001B36EE" w:rsidRDefault="00DA0225" w14:paraId="29DFDE76" w14:textId="77777777">
                  <w:pPr>
                    <w:jc w:val="center"/>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DA0225" w:rsidP="001B36EE" w:rsidRDefault="00DA0225" w14:paraId="0C661D7A"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DA0225" w:rsidP="001B36EE" w:rsidRDefault="00DA0225" w14:paraId="4485852C"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DA0225" w:rsidP="001B36EE" w:rsidRDefault="00DA0225" w14:paraId="5152B722"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tcBorders>
                  <w:shd w:val="clear" w:color="auto" w:fill="F2F2F2" w:themeFill="background1" w:themeFillShade="F2"/>
                  <w:vAlign w:val="center"/>
                </w:tcPr>
                <w:p w:rsidRPr="00C43185" w:rsidR="00DA0225" w:rsidP="001B36EE" w:rsidRDefault="00DA0225" w14:paraId="6D487E7F"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440"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DA0225" w:rsidP="001B36EE" w:rsidRDefault="00DA0225" w14:paraId="1129C49A" w14:textId="4932923E">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766A2D">
                    <w:rPr>
                      <w:rFonts w:ascii="Poppins" w:hAnsi="Poppins" w:cs="Poppins"/>
                    </w:rPr>
                    <w:br/>
                  </w:r>
                  <w:r w:rsidRPr="00C43185">
                    <w:rPr>
                      <w:rFonts w:ascii="Poppins" w:hAnsi="Poppins" w:cs="Poppins"/>
                    </w:rPr>
                    <w:t>text&gt;</w:t>
                  </w:r>
                </w:p>
              </w:tc>
            </w:tr>
          </w:tbl>
          <w:p w:rsidRPr="00DA0225" w:rsidR="00DA0225" w:rsidP="001B36EE" w:rsidRDefault="00DA0225" w14:paraId="28C12594" w14:textId="675B3A6C">
            <w:pPr>
              <w:rPr>
                <w:rFonts w:ascii="Poppins" w:hAnsi="Poppins" w:eastAsia="Calibri" w:cs="Poppins"/>
                <w:b/>
                <w:bCs/>
                <w:color w:val="A6A6A6" w:themeColor="background1" w:themeShade="A6"/>
                <w:sz w:val="20"/>
                <w:szCs w:val="20"/>
              </w:rPr>
            </w:pPr>
          </w:p>
        </w:tc>
      </w:tr>
    </w:tbl>
    <w:p w:rsidR="00DA0225" w:rsidP="001B36EE" w:rsidRDefault="00DA0225" w14:paraId="59DFDB50" w14:textId="0D927B50">
      <w:pPr>
        <w:spacing w:line="240" w:lineRule="auto"/>
        <w:rPr>
          <w:rFonts w:ascii="Poppins" w:hAnsi="Poppins" w:cs="Poppins" w:eastAsiaTheme="majorEastAsia"/>
          <w:b/>
          <w:bCs/>
          <w:color w:val="365F91" w:themeColor="accent1" w:themeShade="BF"/>
          <w:sz w:val="28"/>
          <w:szCs w:val="28"/>
        </w:rPr>
      </w:pPr>
    </w:p>
    <w:p w:rsidRPr="002D5CF5" w:rsidR="00A66E27" w:rsidP="001B36EE" w:rsidRDefault="003B163D" w14:paraId="5FDD654E" w14:textId="51C4F99A">
      <w:pPr>
        <w:pStyle w:val="Heading1"/>
        <w:numPr>
          <w:ilvl w:val="0"/>
          <w:numId w:val="26"/>
        </w:numPr>
        <w:spacing w:after="120" w:line="240" w:lineRule="auto"/>
        <w:rPr>
          <w:rFonts w:ascii="Poppins" w:hAnsi="Poppins" w:cs="Poppins"/>
          <w:color w:val="0023C8"/>
        </w:rPr>
      </w:pPr>
      <w:bookmarkStart w:name="_Toc229391543" w:id="24"/>
      <w:r w:rsidRPr="002D5CF5">
        <w:rPr>
          <w:rFonts w:ascii="Poppins" w:hAnsi="Poppins" w:cs="Poppins"/>
          <w:color w:val="0023C8"/>
        </w:rPr>
        <w:t>Management Case (Delivery &amp; Assurance)</w:t>
      </w:r>
      <w:bookmarkEnd w:id="24"/>
    </w:p>
    <w:tbl>
      <w:tblPr>
        <w:tblStyle w:val="TableGrid"/>
        <w:tblW w:w="0" w:type="auto"/>
        <w:tblBorders>
          <w:top w:val="none" w:color="auto" w:sz="0" w:space="0"/>
          <w:left w:val="none" w:color="auto" w:sz="0" w:space="0"/>
          <w:bottom w:val="none" w:color="auto" w:sz="0" w:space="0"/>
          <w:right w:val="none" w:color="auto" w:sz="0" w:space="0"/>
        </w:tblBorders>
        <w:tblCellMar>
          <w:top w:w="227" w:type="dxa"/>
          <w:left w:w="284" w:type="dxa"/>
          <w:bottom w:w="227" w:type="dxa"/>
          <w:right w:w="284" w:type="dxa"/>
        </w:tblCellMar>
        <w:tblLook w:val="04A0" w:firstRow="1" w:lastRow="0" w:firstColumn="1" w:lastColumn="0" w:noHBand="0" w:noVBand="1"/>
      </w:tblPr>
      <w:tblGrid>
        <w:gridCol w:w="8640"/>
      </w:tblGrid>
      <w:tr w:rsidRPr="00C43185" w:rsidR="00A66E27" w:rsidTr="000E4452" w14:paraId="61CAAF1E" w14:textId="77777777">
        <w:tc>
          <w:tcPr>
            <w:tcW w:w="8640" w:type="dxa"/>
            <w:tcBorders>
              <w:top w:val="nil"/>
              <w:left w:val="nil"/>
              <w:bottom w:val="single" w:color="0023C8" w:sz="4" w:space="0"/>
              <w:right w:val="nil"/>
            </w:tcBorders>
            <w:shd w:val="clear" w:color="auto" w:fill="E3E5ED"/>
          </w:tcPr>
          <w:p w:rsidRPr="00DA0225" w:rsidR="00A66E27" w:rsidP="001B36EE" w:rsidRDefault="00A66E27" w14:paraId="7666AB3A" w14:textId="1204EB48">
            <w:pPr>
              <w:spacing w:after="60"/>
              <w:rPr>
                <w:rFonts w:ascii="Poppins" w:hAnsi="Poppins" w:eastAsia="Times New Roman" w:cs="Poppins"/>
                <w:b/>
                <w:i/>
                <w:iCs/>
              </w:rPr>
            </w:pPr>
            <w:r w:rsidRPr="00C43185">
              <w:rPr>
                <w:rFonts w:ascii="Poppins" w:hAnsi="Poppins" w:eastAsia="Times New Roman" w:cs="Poppins"/>
                <w:b/>
                <w:i/>
                <w:iCs/>
              </w:rPr>
              <w:t>Guidance information</w:t>
            </w:r>
          </w:p>
          <w:p w:rsidRPr="00DA0225" w:rsidR="00B36DFC" w:rsidP="001B36EE" w:rsidRDefault="001D4399" w14:paraId="7B3D54BF" w14:textId="745C3FB5">
            <w:pPr>
              <w:pStyle w:val="ListParagraph"/>
              <w:numPr>
                <w:ilvl w:val="0"/>
                <w:numId w:val="29"/>
              </w:numPr>
              <w:spacing w:after="60"/>
              <w:contextualSpacing w:val="0"/>
              <w:rPr>
                <w:rFonts w:ascii="Poppins" w:hAnsi="Poppins" w:cs="Poppins"/>
                <w:i/>
                <w:iCs/>
                <w:sz w:val="20"/>
                <w:szCs w:val="20"/>
              </w:rPr>
            </w:pPr>
            <w:r w:rsidRPr="00DA0225">
              <w:rPr>
                <w:rFonts w:ascii="Poppins" w:hAnsi="Poppins" w:cs="Poppins"/>
                <w:i/>
                <w:iCs/>
                <w:sz w:val="20"/>
                <w:szCs w:val="20"/>
              </w:rPr>
              <w:t>This section covers the governance aspects of service delivery</w:t>
            </w:r>
            <w:r w:rsidRPr="00DA0225" w:rsidR="0070005A">
              <w:rPr>
                <w:rFonts w:ascii="Poppins" w:hAnsi="Poppins" w:cs="Poppins"/>
                <w:i/>
                <w:iCs/>
                <w:sz w:val="20"/>
                <w:szCs w:val="20"/>
              </w:rPr>
              <w:t xml:space="preserve"> including realisation of benefits</w:t>
            </w:r>
          </w:p>
          <w:p w:rsidRPr="00DA0225" w:rsidR="00FA0459" w:rsidP="001B36EE" w:rsidRDefault="00B9298F" w14:paraId="36414FE5" w14:textId="698C3F16">
            <w:pPr>
              <w:pStyle w:val="ListParagraph"/>
              <w:numPr>
                <w:ilvl w:val="0"/>
                <w:numId w:val="29"/>
              </w:numPr>
              <w:spacing w:after="60"/>
              <w:contextualSpacing w:val="0"/>
              <w:rPr>
                <w:rFonts w:ascii="Poppins" w:hAnsi="Poppins" w:cs="Poppins"/>
                <w:i/>
                <w:iCs/>
                <w:sz w:val="20"/>
                <w:szCs w:val="20"/>
              </w:rPr>
            </w:pPr>
            <w:r w:rsidRPr="00DA0225">
              <w:rPr>
                <w:rFonts w:ascii="Poppins" w:hAnsi="Poppins" w:cs="Poppins"/>
                <w:i/>
                <w:iCs/>
                <w:sz w:val="20"/>
                <w:szCs w:val="20"/>
              </w:rPr>
              <w:t>Suggestions for</w:t>
            </w:r>
            <w:r w:rsidRPr="00DA0225" w:rsidR="002310EF">
              <w:rPr>
                <w:rFonts w:ascii="Poppins" w:hAnsi="Poppins" w:cs="Poppins"/>
                <w:i/>
                <w:iCs/>
                <w:sz w:val="20"/>
                <w:szCs w:val="20"/>
              </w:rPr>
              <w:t xml:space="preserve"> to</w:t>
            </w:r>
            <w:r w:rsidRPr="00DA0225">
              <w:rPr>
                <w:rFonts w:ascii="Poppins" w:hAnsi="Poppins" w:cs="Poppins"/>
                <w:i/>
                <w:iCs/>
                <w:sz w:val="20"/>
                <w:szCs w:val="20"/>
              </w:rPr>
              <w:t>pics to be included are given</w:t>
            </w:r>
            <w:r w:rsidRPr="00DA0225" w:rsidR="00FA0459">
              <w:rPr>
                <w:rFonts w:ascii="Poppins" w:hAnsi="Poppins" w:cs="Poppins"/>
                <w:i/>
                <w:iCs/>
                <w:sz w:val="20"/>
                <w:szCs w:val="20"/>
              </w:rPr>
              <w:t xml:space="preserve"> below</w:t>
            </w:r>
            <w:r w:rsidRPr="00DA0225" w:rsidR="00B36DFC">
              <w:rPr>
                <w:rFonts w:ascii="Poppins" w:hAnsi="Poppins" w:cs="Poppins"/>
                <w:i/>
                <w:iCs/>
                <w:sz w:val="20"/>
                <w:szCs w:val="20"/>
              </w:rPr>
              <w:t>, but will need to be aligned to those in your local business case template</w:t>
            </w:r>
            <w:r w:rsidRPr="00DA0225" w:rsidR="00474064">
              <w:rPr>
                <w:rFonts w:ascii="Poppins" w:hAnsi="Poppins" w:cs="Poppins"/>
                <w:i/>
                <w:iCs/>
                <w:sz w:val="20"/>
                <w:szCs w:val="20"/>
              </w:rPr>
              <w:t>:</w:t>
            </w:r>
          </w:p>
          <w:p w:rsidRPr="00DA0225" w:rsidR="00FA0459" w:rsidP="001B36EE" w:rsidRDefault="00F56951" w14:paraId="6FFA13FF" w14:textId="58427199">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R</w:t>
            </w:r>
            <w:r w:rsidRPr="00DA0225" w:rsidR="00FA0459">
              <w:rPr>
                <w:rFonts w:ascii="Poppins" w:hAnsi="Poppins" w:cs="Poppins"/>
                <w:i/>
                <w:iCs/>
                <w:sz w:val="20"/>
                <w:szCs w:val="20"/>
              </w:rPr>
              <w:t>isk</w:t>
            </w:r>
            <w:r w:rsidRPr="00DA0225">
              <w:rPr>
                <w:rFonts w:ascii="Poppins" w:hAnsi="Poppins" w:cs="Poppins"/>
                <w:i/>
                <w:iCs/>
                <w:sz w:val="20"/>
                <w:szCs w:val="20"/>
              </w:rPr>
              <w:t>, issues and mitigation</w:t>
            </w:r>
          </w:p>
          <w:p w:rsidRPr="00DA0225" w:rsidR="002310EF" w:rsidP="001B36EE" w:rsidRDefault="002310EF" w14:paraId="556BF7C8" w14:textId="45EEECEE">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Benefits realisation plan</w:t>
            </w:r>
          </w:p>
          <w:p w:rsidRPr="00DA0225" w:rsidR="00FA0459" w:rsidP="001B36EE" w:rsidRDefault="006F5DBA" w14:paraId="67DE081C" w14:textId="56D2E005">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 xml:space="preserve">Clinical and medicines </w:t>
            </w:r>
            <w:r w:rsidRPr="00DA0225" w:rsidR="00FA0459">
              <w:rPr>
                <w:rFonts w:ascii="Poppins" w:hAnsi="Poppins" w:cs="Poppins"/>
                <w:i/>
                <w:iCs/>
                <w:sz w:val="20"/>
                <w:szCs w:val="20"/>
              </w:rPr>
              <w:t>governance arrangements</w:t>
            </w:r>
          </w:p>
          <w:p w:rsidRPr="00DA0225" w:rsidR="00FA0459" w:rsidP="001B36EE" w:rsidRDefault="00285D38" w14:paraId="4BE9F85B" w14:textId="22FAE884">
            <w:pPr>
              <w:pStyle w:val="ListParagraph"/>
              <w:numPr>
                <w:ilvl w:val="1"/>
                <w:numId w:val="29"/>
              </w:numPr>
              <w:spacing w:after="60"/>
              <w:ind w:left="723"/>
              <w:contextualSpacing w:val="0"/>
              <w:rPr>
                <w:rFonts w:ascii="Poppins" w:hAnsi="Poppins" w:cs="Poppins"/>
                <w:i/>
                <w:iCs/>
                <w:sz w:val="20"/>
                <w:szCs w:val="20"/>
              </w:rPr>
            </w:pPr>
            <w:r w:rsidRPr="00DA0225">
              <w:rPr>
                <w:rFonts w:ascii="Poppins" w:hAnsi="Poppins" w:cs="Poppins"/>
                <w:i/>
                <w:iCs/>
                <w:sz w:val="20"/>
                <w:szCs w:val="20"/>
              </w:rPr>
              <w:t>Digital, estates and equipment</w:t>
            </w:r>
          </w:p>
          <w:p w:rsidRPr="00DA0225" w:rsidR="00A66E27" w:rsidP="001B36EE" w:rsidRDefault="00285D38" w14:paraId="277F82D3" w14:textId="40F46424">
            <w:pPr>
              <w:pStyle w:val="ListParagraph"/>
              <w:numPr>
                <w:ilvl w:val="1"/>
                <w:numId w:val="29"/>
              </w:numPr>
              <w:spacing w:after="60"/>
              <w:ind w:left="723"/>
              <w:contextualSpacing w:val="0"/>
              <w:rPr>
                <w:rFonts w:ascii="Poppins" w:hAnsi="Poppins" w:cs="Poppins"/>
                <w:i/>
                <w:iCs/>
              </w:rPr>
            </w:pPr>
            <w:r w:rsidRPr="00DA0225">
              <w:rPr>
                <w:rFonts w:ascii="Poppins" w:hAnsi="Poppins" w:cs="Poppins"/>
                <w:i/>
                <w:iCs/>
                <w:sz w:val="20"/>
                <w:szCs w:val="20"/>
              </w:rPr>
              <w:t>Equality, data and regulatory</w:t>
            </w:r>
          </w:p>
        </w:tc>
      </w:tr>
      <w:tr w:rsidRPr="00C43185" w:rsidR="002D5CF5" w:rsidTr="000E4452" w14:paraId="72C0F054" w14:textId="77777777">
        <w:tc>
          <w:tcPr>
            <w:tcW w:w="8640" w:type="dxa"/>
            <w:tcBorders>
              <w:top w:val="single" w:color="0023C8" w:sz="4" w:space="0"/>
              <w:left w:val="single" w:color="0023C8" w:sz="4" w:space="0"/>
              <w:bottom w:val="single" w:color="0023C8" w:sz="4" w:space="0"/>
              <w:right w:val="single" w:color="0023C8" w:sz="4" w:space="0"/>
            </w:tcBorders>
          </w:tcPr>
          <w:p w:rsidRPr="002D5CF5" w:rsidR="002D5CF5" w:rsidP="001B36EE" w:rsidRDefault="00C35E87" w14:paraId="2F6CC7AE" w14:textId="4EE829BA">
            <w:pPr>
              <w:pStyle w:val="Heading2"/>
              <w:numPr>
                <w:ilvl w:val="1"/>
                <w:numId w:val="26"/>
              </w:numPr>
              <w:tabs>
                <w:tab w:val="num" w:pos="360"/>
              </w:tabs>
              <w:spacing w:before="0" w:after="60"/>
              <w:ind w:left="360" w:hanging="360"/>
              <w:rPr>
                <w:rFonts w:ascii="Poppins" w:hAnsi="Poppins" w:cs="Poppins"/>
                <w:color w:val="0023C8"/>
              </w:rPr>
            </w:pPr>
            <w:r>
              <w:rPr>
                <w:rFonts w:ascii="Poppins" w:hAnsi="Poppins" w:cs="Poppins"/>
                <w:color w:val="0023C8"/>
              </w:rPr>
              <w:t xml:space="preserve"> </w:t>
            </w:r>
            <w:bookmarkStart w:name="_Toc229391544" w:id="25"/>
            <w:r w:rsidRPr="002D5CF5" w:rsidR="002D5CF5">
              <w:rPr>
                <w:rFonts w:ascii="Poppins" w:hAnsi="Poppins" w:cs="Poppins"/>
                <w:color w:val="0023C8"/>
              </w:rPr>
              <w:t>Risk, issues &amp; mitigations</w:t>
            </w:r>
            <w:bookmarkEnd w:id="25"/>
          </w:p>
          <w:p w:rsidRPr="002D5CF5" w:rsidR="002D5CF5" w:rsidP="001B36EE" w:rsidRDefault="002D5CF5" w14:paraId="439FFD4D" w14:textId="61A2A4FC">
            <w:pPr>
              <w:spacing w:after="60"/>
              <w:rPr>
                <w:rFonts w:ascii="Poppins" w:hAnsi="Poppins" w:eastAsia="Calibri" w:cs="Poppins"/>
                <w:color w:val="A6A6A6" w:themeColor="background1" w:themeShade="A6"/>
                <w:sz w:val="20"/>
                <w:szCs w:val="20"/>
              </w:rPr>
            </w:pPr>
            <w:r w:rsidRPr="002D5CF5">
              <w:rPr>
                <w:rFonts w:ascii="Poppins" w:hAnsi="Poppins" w:eastAsia="Calibri" w:cs="Poppins"/>
                <w:color w:val="A6A6A6" w:themeColor="background1" w:themeShade="A6"/>
                <w:sz w:val="20"/>
                <w:szCs w:val="20"/>
              </w:rPr>
              <w:t>&lt;Use your local Trust/ICB risk score process to describe and score potential risks identified to service delivery. List all potential risks related to the infusion service (e.g., clinical errors,</w:t>
            </w:r>
            <w:r w:rsidR="0001227D">
              <w:rPr>
                <w:rFonts w:ascii="Poppins" w:hAnsi="Poppins" w:eastAsia="Calibri" w:cs="Poppins"/>
                <w:color w:val="A6A6A6" w:themeColor="background1" w:themeShade="A6"/>
                <w:sz w:val="20"/>
                <w:szCs w:val="20"/>
              </w:rPr>
              <w:t xml:space="preserve"> adverse reactions,</w:t>
            </w:r>
            <w:r w:rsidRPr="002D5CF5">
              <w:rPr>
                <w:rFonts w:ascii="Poppins" w:hAnsi="Poppins" w:eastAsia="Calibri" w:cs="Poppins"/>
                <w:color w:val="A6A6A6" w:themeColor="background1" w:themeShade="A6"/>
                <w:sz w:val="20"/>
                <w:szCs w:val="20"/>
              </w:rPr>
              <w:t xml:space="preserve"> equipment malfunctions, supply chain issues, staffing shortages, infection risks).</w:t>
            </w:r>
          </w:p>
          <w:p w:rsidRPr="002D5CF5" w:rsidR="002D5CF5" w:rsidP="001B36EE" w:rsidRDefault="002D5CF5" w14:paraId="7A3E0288" w14:textId="37F427F9">
            <w:pPr>
              <w:spacing w:after="60"/>
              <w:rPr>
                <w:rFonts w:ascii="Poppins" w:hAnsi="Poppins" w:eastAsia="Calibri" w:cs="Poppins"/>
                <w:color w:val="A6A6A6" w:themeColor="background1" w:themeShade="A6"/>
                <w:sz w:val="20"/>
                <w:szCs w:val="20"/>
              </w:rPr>
            </w:pPr>
            <w:r w:rsidRPr="002D5CF5">
              <w:rPr>
                <w:rFonts w:ascii="Poppins" w:hAnsi="Poppins" w:eastAsia="Calibri" w:cs="Poppins"/>
                <w:color w:val="A6A6A6" w:themeColor="background1" w:themeShade="A6"/>
                <w:sz w:val="20"/>
                <w:szCs w:val="20"/>
              </w:rPr>
              <w:t>An example of the scoring process is described below:</w:t>
            </w:r>
          </w:p>
          <w:p w:rsidRPr="000E4452" w:rsidR="002D5CF5" w:rsidP="001B36EE" w:rsidRDefault="002D5CF5" w14:paraId="2B0E1769" w14:textId="20D315C6">
            <w:pPr>
              <w:pStyle w:val="Heading2"/>
              <w:spacing w:before="0" w:after="60"/>
              <w:rPr>
                <w:rFonts w:ascii="Poppins" w:hAnsi="Poppins" w:eastAsia="Calibri" w:cs="Poppins"/>
                <w:color w:val="A6A6A6" w:themeColor="background1" w:themeShade="A6"/>
                <w:sz w:val="22"/>
                <w:szCs w:val="22"/>
              </w:rPr>
            </w:pPr>
            <w:bookmarkStart w:name="_Toc221526231" w:id="26"/>
            <w:bookmarkStart w:name="_Toc224553476" w:id="27"/>
            <w:bookmarkStart w:name="_Toc227060655" w:id="28"/>
            <w:bookmarkStart w:name="_Toc229151963" w:id="29"/>
            <w:bookmarkStart w:name="_Toc229391545" w:id="30"/>
            <w:r w:rsidRPr="000E4452">
              <w:rPr>
                <w:rFonts w:ascii="Poppins" w:hAnsi="Poppins" w:eastAsia="Calibri" w:cs="Poppins"/>
                <w:color w:val="A6A6A6" w:themeColor="background1" w:themeShade="A6"/>
                <w:sz w:val="22"/>
                <w:szCs w:val="22"/>
              </w:rPr>
              <w:t>Once you have populated your list, apply a risk matrix combining Consequences and Likelihood, each scored 1 to 5:</w:t>
            </w:r>
            <w:bookmarkEnd w:id="26"/>
            <w:bookmarkEnd w:id="27"/>
            <w:bookmarkEnd w:id="28"/>
            <w:bookmarkEnd w:id="29"/>
            <w:bookmarkEnd w:id="30"/>
          </w:p>
          <w:tbl>
            <w:tblPr>
              <w:tblStyle w:val="TableGrid"/>
              <w:tblW w:w="8107" w:type="dxa"/>
              <w:tblBorders>
                <w:top w:val="none" w:color="auto" w:sz="0" w:space="0"/>
                <w:left w:val="none" w:color="auto" w:sz="0" w:space="0"/>
                <w:bottom w:val="none" w:color="auto" w:sz="0" w:space="0"/>
                <w:right w:val="none" w:color="auto" w:sz="0" w:space="0"/>
                <w:insideH w:val="single" w:color="0023C8" w:sz="4" w:space="0"/>
                <w:insideV w:val="single" w:color="0023C8" w:sz="4" w:space="0"/>
              </w:tblBorders>
              <w:tblLook w:val="04A0" w:firstRow="1" w:lastRow="0" w:firstColumn="1" w:lastColumn="0" w:noHBand="0" w:noVBand="1"/>
            </w:tblPr>
            <w:tblGrid>
              <w:gridCol w:w="2041"/>
              <w:gridCol w:w="6066"/>
            </w:tblGrid>
            <w:tr w:rsidRPr="00C43185" w:rsidR="00C0117B" w:rsidTr="0083497D" w14:paraId="6A7501F0" w14:textId="77777777">
              <w:trPr>
                <w:trHeight w:val="510"/>
              </w:trPr>
              <w:tc>
                <w:tcPr>
                  <w:tcW w:w="2041" w:type="dxa"/>
                  <w:tcBorders>
                    <w:top w:val="nil"/>
                    <w:bottom w:val="single" w:color="FFFFFF" w:themeColor="background1" w:sz="18" w:space="0"/>
                    <w:right w:val="single" w:color="FFFFFF" w:themeColor="background1" w:sz="18" w:space="0"/>
                  </w:tcBorders>
                  <w:shd w:val="clear" w:color="auto" w:fill="0096FF"/>
                  <w:vAlign w:val="center"/>
                </w:tcPr>
                <w:p w:rsidRPr="00BC77BF" w:rsidR="002D5CF5" w:rsidP="001B36EE" w:rsidRDefault="002D5CF5" w14:paraId="56A4F182" w14:textId="77777777">
                  <w:pPr>
                    <w:rPr>
                      <w:rFonts w:ascii="Poppins" w:hAnsi="Poppins" w:eastAsia="Calibri" w:cs="Poppins"/>
                      <w:b/>
                      <w:bCs/>
                      <w:color w:val="FFFFFF" w:themeColor="background1"/>
                    </w:rPr>
                  </w:pPr>
                  <w:r w:rsidRPr="00BC77BF">
                    <w:rPr>
                      <w:rFonts w:ascii="Poppins" w:hAnsi="Poppins" w:eastAsia="Calibri" w:cs="Poppins"/>
                      <w:b/>
                      <w:bCs/>
                      <w:color w:val="FFFFFF" w:themeColor="background1"/>
                    </w:rPr>
                    <w:t>Risk/Issue</w:t>
                  </w:r>
                </w:p>
              </w:tc>
              <w:tc>
                <w:tcPr>
                  <w:tcW w:w="6066" w:type="dxa"/>
                  <w:tcBorders>
                    <w:top w:val="nil"/>
                    <w:left w:val="single" w:color="FFFFFF" w:themeColor="background1" w:sz="18" w:space="0"/>
                    <w:bottom w:val="single" w:color="FFFFFF" w:themeColor="background1" w:sz="18" w:space="0"/>
                  </w:tcBorders>
                  <w:shd w:val="clear" w:color="auto" w:fill="0096FF"/>
                  <w:vAlign w:val="center"/>
                </w:tcPr>
                <w:p w:rsidRPr="00BC77BF" w:rsidR="002D5CF5" w:rsidP="001B36EE" w:rsidRDefault="002D5CF5" w14:paraId="5F30B3F7" w14:textId="70334343">
                  <w:pPr>
                    <w:rPr>
                      <w:rFonts w:ascii="Poppins" w:hAnsi="Poppins" w:eastAsia="Calibri" w:cs="Poppins"/>
                      <w:b/>
                      <w:bCs/>
                      <w:color w:val="FFFFFF" w:themeColor="background1"/>
                    </w:rPr>
                  </w:pPr>
                  <w:r w:rsidRPr="00BC77BF">
                    <w:rPr>
                      <w:rFonts w:ascii="Poppins" w:hAnsi="Poppins" w:eastAsia="Calibri" w:cs="Poppins"/>
                      <w:b/>
                      <w:bCs/>
                      <w:color w:val="FFFFFF" w:themeColor="background1"/>
                    </w:rPr>
                    <w:t>Description</w:t>
                  </w:r>
                </w:p>
              </w:tc>
            </w:tr>
            <w:tr w:rsidRPr="00C43185" w:rsidR="00C0117B" w:rsidTr="0083497D" w14:paraId="4343708A" w14:textId="77777777">
              <w:trPr>
                <w:trHeight w:val="850"/>
              </w:trPr>
              <w:tc>
                <w:tcPr>
                  <w:tcW w:w="2041" w:type="dxa"/>
                  <w:tcBorders>
                    <w:top w:val="single" w:color="FFFFFF" w:themeColor="background1" w:sz="18" w:space="0"/>
                    <w:bottom w:val="single" w:color="F2F2F2" w:themeColor="background1" w:themeShade="F2" w:sz="4" w:space="0"/>
                    <w:right w:val="single" w:color="FFFFFF" w:themeColor="background1" w:sz="18" w:space="0"/>
                  </w:tcBorders>
                  <w:shd w:val="clear" w:color="auto" w:fill="A4D6EF"/>
                  <w:vAlign w:val="center"/>
                </w:tcPr>
                <w:p w:rsidRPr="00913708" w:rsidR="002D5CF5" w:rsidP="001B36EE" w:rsidRDefault="002D5CF5" w14:paraId="25D85404" w14:textId="77777777">
                  <w:pPr>
                    <w:rPr>
                      <w:rFonts w:ascii="Poppins" w:hAnsi="Poppins" w:eastAsia="Calibri" w:cs="Poppins"/>
                      <w:b/>
                      <w:bCs/>
                      <w:color w:val="0023C8"/>
                    </w:rPr>
                  </w:pPr>
                  <w:r w:rsidRPr="00913708">
                    <w:rPr>
                      <w:rFonts w:ascii="Poppins" w:hAnsi="Poppins" w:eastAsia="Calibri" w:cs="Poppins"/>
                      <w:b/>
                      <w:bCs/>
                      <w:color w:val="0023C8"/>
                    </w:rPr>
                    <w:t>Consequence</w:t>
                  </w:r>
                </w:p>
              </w:tc>
              <w:tc>
                <w:tcPr>
                  <w:tcW w:w="6066" w:type="dxa"/>
                  <w:tcBorders>
                    <w:top w:val="single" w:color="FFFFFF" w:themeColor="background1" w:sz="18" w:space="0"/>
                    <w:left w:val="single" w:color="FFFFFF" w:themeColor="background1" w:sz="18" w:space="0"/>
                    <w:bottom w:val="single" w:color="D9D9D9" w:themeColor="background1" w:themeShade="D9" w:sz="4" w:space="0"/>
                  </w:tcBorders>
                  <w:shd w:val="clear" w:color="auto" w:fill="F2F2F2" w:themeFill="background1" w:themeFillShade="F2"/>
                  <w:vAlign w:val="center"/>
                </w:tcPr>
                <w:p w:rsidRPr="00C43185" w:rsidR="002D5CF5" w:rsidP="001B36EE" w:rsidRDefault="002D5CF5" w14:paraId="063891F1" w14:textId="286F3EEF">
                  <w:pPr>
                    <w:rPr>
                      <w:rFonts w:ascii="Poppins" w:hAnsi="Poppins" w:eastAsia="Calibri" w:cs="Poppins"/>
                      <w:color w:val="A6A6A6" w:themeColor="background1" w:themeShade="A6"/>
                    </w:rPr>
                  </w:pPr>
                  <w:r w:rsidRPr="00C43185">
                    <w:rPr>
                      <w:rFonts w:ascii="Poppins" w:hAnsi="Poppins" w:eastAsia="Calibri" w:cs="Poppins"/>
                      <w:color w:val="A6A6A6" w:themeColor="background1" w:themeShade="A6"/>
                    </w:rPr>
                    <w:t>Severity of impact (patient safety, service quality, finances, reputation)</w:t>
                  </w:r>
                </w:p>
              </w:tc>
            </w:tr>
            <w:tr w:rsidRPr="00C43185" w:rsidR="00C0117B" w:rsidTr="0083497D" w14:paraId="756B94FE" w14:textId="77777777">
              <w:trPr>
                <w:trHeight w:val="510"/>
              </w:trPr>
              <w:tc>
                <w:tcPr>
                  <w:tcW w:w="2041" w:type="dxa"/>
                  <w:tcBorders>
                    <w:top w:val="single" w:color="F2F2F2" w:themeColor="background1" w:themeShade="F2" w:sz="4" w:space="0"/>
                    <w:bottom w:val="nil"/>
                    <w:right w:val="single" w:color="FFFFFF" w:themeColor="background1" w:sz="18" w:space="0"/>
                  </w:tcBorders>
                  <w:shd w:val="clear" w:color="auto" w:fill="A4D6EF"/>
                  <w:vAlign w:val="center"/>
                </w:tcPr>
                <w:p w:rsidRPr="00913708" w:rsidR="002D5CF5" w:rsidP="001B36EE" w:rsidRDefault="002D5CF5" w14:paraId="0D413B7F" w14:textId="77777777">
                  <w:pPr>
                    <w:rPr>
                      <w:rFonts w:ascii="Poppins" w:hAnsi="Poppins" w:eastAsia="Calibri" w:cs="Poppins"/>
                      <w:b/>
                      <w:bCs/>
                      <w:color w:val="0023C8"/>
                    </w:rPr>
                  </w:pPr>
                  <w:r w:rsidRPr="00913708">
                    <w:rPr>
                      <w:rFonts w:ascii="Poppins" w:hAnsi="Poppins" w:eastAsia="Calibri" w:cs="Poppins"/>
                      <w:b/>
                      <w:bCs/>
                      <w:color w:val="0023C8"/>
                    </w:rPr>
                    <w:t>Likelihood</w:t>
                  </w:r>
                </w:p>
              </w:tc>
              <w:tc>
                <w:tcPr>
                  <w:tcW w:w="6066" w:type="dxa"/>
                  <w:tcBorders>
                    <w:top w:val="single" w:color="D9D9D9" w:themeColor="background1" w:themeShade="D9" w:sz="4" w:space="0"/>
                    <w:left w:val="single" w:color="FFFFFF" w:themeColor="background1" w:sz="18" w:space="0"/>
                    <w:bottom w:val="nil"/>
                  </w:tcBorders>
                  <w:shd w:val="clear" w:color="auto" w:fill="F2F2F2" w:themeFill="background1" w:themeFillShade="F2"/>
                  <w:vAlign w:val="center"/>
                </w:tcPr>
                <w:p w:rsidRPr="00C43185" w:rsidR="002D5CF5" w:rsidP="001B36EE" w:rsidRDefault="002D5CF5" w14:paraId="4310C53D" w14:textId="4ECE0FB2">
                  <w:pPr>
                    <w:rPr>
                      <w:rFonts w:ascii="Poppins" w:hAnsi="Poppins" w:eastAsia="Calibri" w:cs="Poppins"/>
                      <w:color w:val="A6A6A6" w:themeColor="background1" w:themeShade="A6"/>
                    </w:rPr>
                  </w:pPr>
                  <w:r w:rsidRPr="00C43185">
                    <w:rPr>
                      <w:rFonts w:ascii="Poppins" w:hAnsi="Poppins" w:eastAsia="Calibri" w:cs="Poppins"/>
                      <w:color w:val="A6A6A6" w:themeColor="background1" w:themeShade="A6"/>
                    </w:rPr>
                    <w:t>Probability or frequency of occurrence</w:t>
                  </w:r>
                </w:p>
              </w:tc>
            </w:tr>
          </w:tbl>
          <w:p w:rsidRPr="002D5CF5" w:rsidR="002D5CF5" w:rsidP="001B36EE" w:rsidRDefault="002D5CF5" w14:paraId="060E6EE5" w14:textId="2054D2C5"/>
        </w:tc>
      </w:tr>
    </w:tbl>
    <w:p w:rsidR="002D5CF5" w:rsidP="001B36EE" w:rsidRDefault="002D5CF5" w14:paraId="0CACFDC0" w14:textId="4E0747B6">
      <w:pPr>
        <w:spacing w:line="240" w:lineRule="auto"/>
      </w:pPr>
    </w:p>
    <w:p w:rsidR="002D5CF5" w:rsidP="001B36EE" w:rsidRDefault="002D5CF5" w14:paraId="0856EF75" w14:textId="77777777">
      <w:pPr>
        <w:spacing w:line="240" w:lineRule="auto"/>
      </w:pPr>
      <w:r>
        <w:br w:type="page"/>
      </w:r>
    </w:p>
    <w:tbl>
      <w:tblPr>
        <w:tblStyle w:val="TableGrid"/>
        <w:tblW w:w="0" w:type="auto"/>
        <w:tblBorders>
          <w:top w:val="single" w:color="0023C8" w:sz="4" w:space="0"/>
          <w:left w:val="single" w:color="0023C8" w:sz="4" w:space="0"/>
          <w:bottom w:val="single" w:color="0023C8" w:sz="4" w:space="0"/>
          <w:right w:val="single" w:color="0023C8" w:sz="4" w:space="0"/>
          <w:insideH w:val="none" w:color="auto" w:sz="0" w:space="0"/>
          <w:insideV w:val="none" w:color="auto" w:sz="0" w:space="0"/>
        </w:tblBorders>
        <w:tblCellMar>
          <w:top w:w="227" w:type="dxa"/>
          <w:left w:w="284" w:type="dxa"/>
          <w:bottom w:w="227" w:type="dxa"/>
          <w:right w:w="284" w:type="dxa"/>
        </w:tblCellMar>
        <w:tblLook w:val="04A0" w:firstRow="1" w:lastRow="0" w:firstColumn="1" w:lastColumn="0" w:noHBand="0" w:noVBand="1"/>
      </w:tblPr>
      <w:tblGrid>
        <w:gridCol w:w="8630"/>
      </w:tblGrid>
      <w:tr w:rsidRPr="00C43185" w:rsidR="00A66E27" w:rsidTr="000E4452" w14:paraId="03631ABA" w14:textId="77777777">
        <w:tc>
          <w:tcPr>
            <w:tcW w:w="8640" w:type="dxa"/>
          </w:tcPr>
          <w:p w:rsidRPr="000E4452" w:rsidR="00805B12" w:rsidP="001B36EE" w:rsidRDefault="00805B12" w14:paraId="299EBF39" w14:textId="226D951F">
            <w:pPr>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Typical scoring:</w:t>
            </w:r>
          </w:p>
          <w:p w:rsidRPr="000E4452" w:rsidR="00805B12" w:rsidP="001B36EE" w:rsidRDefault="00805B12" w14:paraId="4A1AADFF" w14:textId="77777777">
            <w:pPr>
              <w:numPr>
                <w:ilvl w:val="0"/>
                <w:numId w:val="30"/>
              </w:numPr>
              <w:spacing w:after="60"/>
              <w:ind w:left="360" w:hanging="357"/>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 xml:space="preserve">Consequence: </w:t>
            </w:r>
          </w:p>
          <w:p w:rsidRPr="000E4452" w:rsidR="00805B12" w:rsidP="001B36EE" w:rsidRDefault="00805B12" w14:paraId="7C91E3A1" w14:textId="77777777">
            <w:pPr>
              <w:numPr>
                <w:ilvl w:val="1"/>
                <w:numId w:val="30"/>
              </w:numPr>
              <w:spacing w:after="60"/>
              <w:ind w:left="723" w:hanging="357"/>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1 = Negligible impact</w:t>
            </w:r>
          </w:p>
          <w:p w:rsidRPr="000E4452" w:rsidR="00805B12" w:rsidP="001B36EE" w:rsidRDefault="00805B12" w14:paraId="03D68915" w14:textId="77777777">
            <w:pPr>
              <w:numPr>
                <w:ilvl w:val="1"/>
                <w:numId w:val="30"/>
              </w:numPr>
              <w:spacing w:after="60"/>
              <w:ind w:left="723" w:hanging="357"/>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5 = Catastrophic (e.g., multiple deaths or irreversible harm)</w:t>
            </w:r>
          </w:p>
          <w:p w:rsidRPr="000E4452" w:rsidR="00805B12" w:rsidP="001B36EE" w:rsidRDefault="00805B12" w14:paraId="5855AC31" w14:textId="77777777">
            <w:pPr>
              <w:numPr>
                <w:ilvl w:val="0"/>
                <w:numId w:val="30"/>
              </w:numPr>
              <w:spacing w:after="60"/>
              <w:ind w:left="360" w:hanging="357"/>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 xml:space="preserve">Likelihood: </w:t>
            </w:r>
          </w:p>
          <w:p w:rsidRPr="000E4452" w:rsidR="00805B12" w:rsidP="001B36EE" w:rsidRDefault="00805B12" w14:paraId="69BBAB2A" w14:textId="77777777">
            <w:pPr>
              <w:numPr>
                <w:ilvl w:val="1"/>
                <w:numId w:val="30"/>
              </w:numPr>
              <w:spacing w:after="60"/>
              <w:ind w:left="723" w:hanging="357"/>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1 = Rare</w:t>
            </w:r>
          </w:p>
          <w:p w:rsidRPr="00FD5127" w:rsidR="00805B12" w:rsidP="001B36EE" w:rsidRDefault="00805B12" w14:paraId="6CB67DA6" w14:textId="451039D6">
            <w:pPr>
              <w:numPr>
                <w:ilvl w:val="1"/>
                <w:numId w:val="30"/>
              </w:numPr>
              <w:spacing w:after="60"/>
              <w:ind w:left="723" w:hanging="357"/>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5 = Almost certain/recurrent</w:t>
            </w:r>
          </w:p>
          <w:p w:rsidRPr="000E4452" w:rsidR="00805B12" w:rsidP="001B36EE" w:rsidRDefault="00805B12" w14:paraId="73AA503F" w14:textId="77777777">
            <w:pPr>
              <w:spacing w:before="12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Multiply the two scores:</w:t>
            </w:r>
          </w:p>
          <w:p w:rsidRPr="000E4452" w:rsidR="00805B12" w:rsidP="001B36EE" w:rsidRDefault="00805B12" w14:paraId="4DC74E86" w14:textId="4E8982DA">
            <w:pPr>
              <w:spacing w:after="12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 xml:space="preserve">Risk Score = Consequence × Likelihood </w:t>
            </w:r>
          </w:p>
          <w:tbl>
            <w:tblPr>
              <w:tblStyle w:val="LightList-Accent1"/>
              <w:tblW w:w="0" w:type="auto"/>
              <w:jc w:val="center"/>
              <w:tblBorders>
                <w:top w:val="none" w:color="auto" w:sz="0" w:space="0"/>
                <w:left w:val="none" w:color="auto" w:sz="0" w:space="0"/>
                <w:bottom w:val="none" w:color="auto" w:sz="0" w:space="0"/>
                <w:right w:val="none" w:color="auto" w:sz="0" w:space="0"/>
                <w:insideH w:val="single" w:color="FFFFFF" w:themeColor="background1" w:sz="18" w:space="0"/>
              </w:tblBorders>
              <w:tblLook w:val="04A0" w:firstRow="1" w:lastRow="0" w:firstColumn="1" w:lastColumn="0" w:noHBand="0" w:noVBand="1"/>
            </w:tblPr>
            <w:tblGrid>
              <w:gridCol w:w="785"/>
              <w:gridCol w:w="1377"/>
              <w:gridCol w:w="1781"/>
              <w:gridCol w:w="1366"/>
              <w:gridCol w:w="855"/>
              <w:gridCol w:w="1898"/>
            </w:tblGrid>
            <w:tr w:rsidRPr="00C43185" w:rsidR="00931E2C" w:rsidTr="00F4711F" w14:paraId="0F9FFC80" w14:textId="77777777">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759" w:type="dxa"/>
                  <w:shd w:val="clear" w:color="auto" w:fill="0096FF"/>
                  <w:vAlign w:val="center"/>
                </w:tcPr>
                <w:p w:rsidRPr="00C43185" w:rsidR="0070005A" w:rsidP="001B36EE" w:rsidRDefault="0070005A" w14:paraId="74E30E11" w14:textId="77777777">
                  <w:pPr>
                    <w:jc w:val="center"/>
                    <w:rPr>
                      <w:rFonts w:ascii="Poppins" w:hAnsi="Poppins" w:cs="Poppins"/>
                    </w:rPr>
                  </w:pPr>
                  <w:r w:rsidRPr="00C43185">
                    <w:rPr>
                      <w:rFonts w:ascii="Poppins" w:hAnsi="Poppins" w:cs="Poppins"/>
                    </w:rPr>
                    <w:t>ID</w:t>
                  </w:r>
                </w:p>
              </w:tc>
              <w:tc>
                <w:tcPr>
                  <w:tcW w:w="1324" w:type="dxa"/>
                  <w:shd w:val="clear" w:color="auto" w:fill="0096FF"/>
                  <w:vAlign w:val="center"/>
                </w:tcPr>
                <w:p w:rsidRPr="00C43185" w:rsidR="0070005A" w:rsidP="001B36EE" w:rsidRDefault="0070005A" w14:paraId="459F9C02"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Risk/Issue</w:t>
                  </w:r>
                </w:p>
              </w:tc>
              <w:tc>
                <w:tcPr>
                  <w:tcW w:w="1644" w:type="dxa"/>
                  <w:shd w:val="clear" w:color="auto" w:fill="0096FF"/>
                  <w:vAlign w:val="center"/>
                </w:tcPr>
                <w:p w:rsidRPr="00C43185" w:rsidR="0070005A" w:rsidP="001B36EE" w:rsidRDefault="0070005A" w14:paraId="1730E00E"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Consequence</w:t>
                  </w:r>
                </w:p>
              </w:tc>
              <w:tc>
                <w:tcPr>
                  <w:tcW w:w="1314" w:type="dxa"/>
                  <w:shd w:val="clear" w:color="auto" w:fill="0096FF"/>
                  <w:vAlign w:val="center"/>
                </w:tcPr>
                <w:p w:rsidRPr="00C43185" w:rsidR="0070005A" w:rsidP="001B36EE" w:rsidRDefault="0070005A" w14:paraId="49103F12"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Likelihood</w:t>
                  </w:r>
                </w:p>
              </w:tc>
              <w:tc>
                <w:tcPr>
                  <w:tcW w:w="826" w:type="dxa"/>
                  <w:shd w:val="clear" w:color="auto" w:fill="0096FF"/>
                  <w:vAlign w:val="center"/>
                </w:tcPr>
                <w:p w:rsidRPr="00C43185" w:rsidR="0070005A" w:rsidP="001B36EE" w:rsidRDefault="0070005A" w14:paraId="0F50620B"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Score</w:t>
                  </w:r>
                </w:p>
              </w:tc>
              <w:tc>
                <w:tcPr>
                  <w:tcW w:w="2129" w:type="dxa"/>
                  <w:shd w:val="clear" w:color="auto" w:fill="0096FF"/>
                  <w:vAlign w:val="center"/>
                </w:tcPr>
                <w:p w:rsidRPr="00C43185" w:rsidR="0070005A" w:rsidP="001B36EE" w:rsidRDefault="0070005A" w14:paraId="19CE04EF" w14:textId="0564D248">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Mitigation/</w:t>
                  </w:r>
                  <w:r w:rsidR="00046D36">
                    <w:rPr>
                      <w:rFonts w:ascii="Poppins" w:hAnsi="Poppins" w:cs="Poppins"/>
                    </w:rPr>
                    <w:br/>
                  </w:r>
                  <w:r w:rsidRPr="00C43185">
                    <w:rPr>
                      <w:rFonts w:ascii="Poppins" w:hAnsi="Poppins" w:cs="Poppins"/>
                    </w:rPr>
                    <w:t>Owner</w:t>
                  </w:r>
                </w:p>
              </w:tc>
            </w:tr>
            <w:tr w:rsidRPr="00C43185" w:rsidR="00931E2C" w:rsidTr="00EC685F" w14:paraId="669D227D" w14:textId="77777777">
              <w:trPr>
                <w:cnfStyle w:val="000000100000" w:firstRow="0" w:lastRow="0" w:firstColumn="0" w:lastColumn="0" w:oddVBand="0" w:evenVBand="0" w:oddHBand="1"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759" w:type="dxa"/>
                  <w:tcBorders>
                    <w:top w:val="none" w:color="auto" w:sz="0" w:space="0"/>
                    <w:left w:val="none" w:color="auto" w:sz="0" w:space="0"/>
                    <w:bottom w:val="none" w:color="auto" w:sz="0" w:space="0"/>
                  </w:tcBorders>
                  <w:shd w:val="clear" w:color="auto" w:fill="F2F2F2" w:themeFill="background1" w:themeFillShade="F2"/>
                  <w:vAlign w:val="center"/>
                </w:tcPr>
                <w:p w:rsidRPr="00F4711F" w:rsidR="0070005A" w:rsidP="001B36EE" w:rsidRDefault="0070005A" w14:paraId="07A66C68" w14:textId="77777777">
                  <w:pPr>
                    <w:jc w:val="center"/>
                    <w:rPr>
                      <w:rFonts w:ascii="Poppins" w:hAnsi="Poppins" w:cs="Poppins"/>
                      <w:b w:val="0"/>
                      <w:bCs w:val="0"/>
                    </w:rPr>
                  </w:pPr>
                  <w:r w:rsidRPr="00F4711F">
                    <w:rPr>
                      <w:rFonts w:ascii="Poppins" w:hAnsi="Poppins" w:cs="Poppins"/>
                      <w:b w:val="0"/>
                      <w:bCs w:val="0"/>
                    </w:rPr>
                    <w:t>&lt;add text&gt;</w:t>
                  </w:r>
                </w:p>
              </w:tc>
              <w:tc>
                <w:tcPr>
                  <w:tcW w:w="1324" w:type="dxa"/>
                  <w:tcBorders>
                    <w:top w:val="none" w:color="auto" w:sz="0" w:space="0"/>
                    <w:bottom w:val="none" w:color="auto" w:sz="0" w:space="0"/>
                  </w:tcBorders>
                  <w:shd w:val="clear" w:color="auto" w:fill="F2F2F2" w:themeFill="background1" w:themeFillShade="F2"/>
                  <w:vAlign w:val="center"/>
                </w:tcPr>
                <w:p w:rsidRPr="00C43185" w:rsidR="0070005A" w:rsidP="001B36EE" w:rsidRDefault="0070005A" w14:paraId="16998436" w14:textId="22294A6F">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c>
                <w:tcPr>
                  <w:tcW w:w="1644" w:type="dxa"/>
                  <w:tcBorders>
                    <w:top w:val="none" w:color="auto" w:sz="0" w:space="0"/>
                    <w:bottom w:val="none" w:color="auto" w:sz="0" w:space="0"/>
                  </w:tcBorders>
                  <w:shd w:val="clear" w:color="auto" w:fill="F2F2F2" w:themeFill="background1" w:themeFillShade="F2"/>
                  <w:vAlign w:val="center"/>
                </w:tcPr>
                <w:p w:rsidRPr="00C43185" w:rsidR="0070005A" w:rsidP="001B36EE" w:rsidRDefault="0070005A" w14:paraId="1A71C876" w14:textId="25194C7B">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c>
                <w:tcPr>
                  <w:tcW w:w="1314" w:type="dxa"/>
                  <w:tcBorders>
                    <w:top w:val="none" w:color="auto" w:sz="0" w:space="0"/>
                    <w:bottom w:val="none" w:color="auto" w:sz="0" w:space="0"/>
                  </w:tcBorders>
                  <w:shd w:val="clear" w:color="auto" w:fill="F2F2F2" w:themeFill="background1" w:themeFillShade="F2"/>
                  <w:vAlign w:val="center"/>
                </w:tcPr>
                <w:p w:rsidRPr="00C43185" w:rsidR="0070005A" w:rsidP="001B36EE" w:rsidRDefault="0070005A" w14:paraId="1A241D3A" w14:textId="5697E173">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c>
                <w:tcPr>
                  <w:tcW w:w="826" w:type="dxa"/>
                  <w:tcBorders>
                    <w:top w:val="none" w:color="auto" w:sz="0" w:space="0"/>
                    <w:bottom w:val="none" w:color="auto" w:sz="0" w:space="0"/>
                  </w:tcBorders>
                  <w:shd w:val="clear" w:color="auto" w:fill="F2F2F2" w:themeFill="background1" w:themeFillShade="F2"/>
                  <w:vAlign w:val="center"/>
                </w:tcPr>
                <w:p w:rsidRPr="00C43185" w:rsidR="0070005A" w:rsidP="001B36EE" w:rsidRDefault="0070005A" w14:paraId="7682030C"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29" w:type="dxa"/>
                  <w:tcBorders>
                    <w:top w:val="none" w:color="auto" w:sz="0" w:space="0"/>
                    <w:bottom w:val="none" w:color="auto" w:sz="0" w:space="0"/>
                    <w:right w:val="none" w:color="auto" w:sz="0" w:space="0"/>
                  </w:tcBorders>
                  <w:shd w:val="clear" w:color="auto" w:fill="F2F2F2" w:themeFill="background1" w:themeFillShade="F2"/>
                  <w:vAlign w:val="center"/>
                </w:tcPr>
                <w:p w:rsidRPr="00C43185" w:rsidR="0070005A" w:rsidP="001B36EE" w:rsidRDefault="0070005A" w14:paraId="74BBE069" w14:textId="1BB0DFA8">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BC77BF">
                    <w:rPr>
                      <w:rFonts w:ascii="Poppins" w:hAnsi="Poppins" w:cs="Poppins"/>
                    </w:rPr>
                    <w:br/>
                  </w:r>
                  <w:r w:rsidRPr="00C43185">
                    <w:rPr>
                      <w:rFonts w:ascii="Poppins" w:hAnsi="Poppins" w:cs="Poppins"/>
                    </w:rPr>
                    <w:t>text&gt;</w:t>
                  </w:r>
                </w:p>
              </w:tc>
            </w:tr>
          </w:tbl>
          <w:p w:rsidRPr="00C43185" w:rsidR="005403BD" w:rsidP="001B36EE" w:rsidRDefault="005403BD" w14:paraId="19A321E7" w14:textId="77777777">
            <w:pPr>
              <w:rPr>
                <w:rFonts w:ascii="Poppins" w:hAnsi="Poppins" w:eastAsia="Calibri" w:cs="Poppins"/>
                <w:color w:val="A6A6A6" w:themeColor="background1" w:themeShade="A6"/>
              </w:rPr>
            </w:pPr>
          </w:p>
          <w:p w:rsidRPr="002D5CF5" w:rsidR="00F56951" w:rsidP="001B36EE" w:rsidRDefault="00F56951" w14:paraId="4193F683" w14:textId="77777777">
            <w:pPr>
              <w:pStyle w:val="Heading2"/>
              <w:spacing w:before="0"/>
              <w:rPr>
                <w:rFonts w:ascii="Poppins" w:hAnsi="Poppins" w:cs="Poppins"/>
                <w:color w:val="0023C8"/>
              </w:rPr>
            </w:pPr>
            <w:bookmarkStart w:name="_Toc229391546" w:id="31"/>
            <w:r w:rsidRPr="002D5CF5">
              <w:rPr>
                <w:rFonts w:ascii="Poppins" w:hAnsi="Poppins" w:cs="Poppins"/>
                <w:color w:val="0023C8"/>
              </w:rPr>
              <w:t>5.2 Benefits realisation plan</w:t>
            </w:r>
            <w:bookmarkEnd w:id="31"/>
          </w:p>
          <w:p w:rsidRPr="000E4452" w:rsidR="00F56951" w:rsidP="001B36EE" w:rsidRDefault="00F56951" w14:paraId="04875DAA" w14:textId="5E550470">
            <w:pPr>
              <w:spacing w:after="12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&lt;List the expected benefits of your service proposal using your local template or the example below. Align to case for change in 2.1, your service objectives in 2.3, and current costs of T1D in 3.1</w:t>
            </w:r>
            <w:r w:rsidR="00810A1F">
              <w:rPr>
                <w:rFonts w:ascii="Poppins" w:hAnsi="Poppins" w:eastAsia="Calibri" w:cs="Poppins"/>
                <w:color w:val="A6A6A6" w:themeColor="background1" w:themeShade="A6"/>
                <w:sz w:val="20"/>
                <w:szCs w:val="20"/>
              </w:rPr>
              <w:t xml:space="preserve">. Examples may include patient/carer satisfaction, reduction in DKA admissions at diagnosis, reduction in adolescents lost to follow-up at transition to adult </w:t>
            </w:r>
            <w:r w:rsidR="00242518">
              <w:rPr>
                <w:rFonts w:ascii="Poppins" w:hAnsi="Poppins" w:eastAsia="Calibri" w:cs="Poppins"/>
                <w:color w:val="A6A6A6" w:themeColor="background1" w:themeShade="A6"/>
                <w:sz w:val="20"/>
                <w:szCs w:val="20"/>
              </w:rPr>
              <w:t>services</w:t>
            </w:r>
            <w:r w:rsidR="00810A1F">
              <w:rPr>
                <w:rFonts w:ascii="Poppins" w:hAnsi="Poppins" w:eastAsia="Calibri" w:cs="Poppins"/>
                <w:color w:val="A6A6A6" w:themeColor="background1" w:themeShade="A6"/>
                <w:sz w:val="20"/>
                <w:szCs w:val="20"/>
              </w:rPr>
              <w:t>, r</w:t>
            </w:r>
            <w:r w:rsidR="00242518">
              <w:rPr>
                <w:rFonts w:ascii="Poppins" w:hAnsi="Poppins" w:eastAsia="Calibri" w:cs="Poppins"/>
                <w:color w:val="A6A6A6" w:themeColor="background1" w:themeShade="A6"/>
                <w:sz w:val="20"/>
                <w:szCs w:val="20"/>
              </w:rPr>
              <w:t>e</w:t>
            </w:r>
            <w:r w:rsidR="00810A1F">
              <w:rPr>
                <w:rFonts w:ascii="Poppins" w:hAnsi="Poppins" w:eastAsia="Calibri" w:cs="Poppins"/>
                <w:color w:val="A6A6A6" w:themeColor="background1" w:themeShade="A6"/>
                <w:sz w:val="20"/>
                <w:szCs w:val="20"/>
              </w:rPr>
              <w:t>duction in hypo- or hyperglycaemia admissions</w:t>
            </w:r>
            <w:r w:rsidR="00242518">
              <w:rPr>
                <w:rFonts w:ascii="Poppins" w:hAnsi="Poppins" w:eastAsia="Calibri" w:cs="Poppins"/>
                <w:color w:val="A6A6A6" w:themeColor="background1" w:themeShade="A6"/>
                <w:sz w:val="20"/>
                <w:szCs w:val="20"/>
              </w:rPr>
              <w:t xml:space="preserve"> prior to Stage 3</w:t>
            </w:r>
            <w:r w:rsidRPr="000E4452">
              <w:rPr>
                <w:rFonts w:ascii="Poppins" w:hAnsi="Poppins" w:eastAsia="Calibri" w:cs="Poppins"/>
                <w:color w:val="A6A6A6" w:themeColor="background1" w:themeShade="A6"/>
                <w:sz w:val="20"/>
                <w:szCs w:val="20"/>
              </w:rPr>
              <w:t>&gt;</w:t>
            </w:r>
          </w:p>
          <w:tbl>
            <w:tblPr>
              <w:tblStyle w:val="LightList-Accent1"/>
              <w:tblW w:w="0" w:type="auto"/>
              <w:jc w:val="center"/>
              <w:tblBorders>
                <w:top w:val="none" w:color="auto" w:sz="0" w:space="0"/>
                <w:left w:val="none" w:color="auto" w:sz="0" w:space="0"/>
                <w:bottom w:val="none" w:color="auto" w:sz="0" w:space="0"/>
                <w:right w:val="none" w:color="auto" w:sz="0" w:space="0"/>
              </w:tblBorders>
              <w:tblLook w:val="04A0" w:firstRow="1" w:lastRow="0" w:firstColumn="1" w:lastColumn="0" w:noHBand="0" w:noVBand="1"/>
            </w:tblPr>
            <w:tblGrid>
              <w:gridCol w:w="1242"/>
              <w:gridCol w:w="1314"/>
              <w:gridCol w:w="1220"/>
              <w:gridCol w:w="1810"/>
              <w:gridCol w:w="1248"/>
              <w:gridCol w:w="1218"/>
            </w:tblGrid>
            <w:tr w:rsidRPr="00C43185" w:rsidR="00F56951" w:rsidTr="00F4711F" w14:paraId="37BEFDA6" w14:textId="77777777">
              <w:trPr>
                <w:cnfStyle w:val="100000000000" w:firstRow="1" w:lastRow="0" w:firstColumn="0" w:lastColumn="0" w:oddVBand="0" w:evenVBand="0" w:oddHBand="0"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242" w:type="dxa"/>
                  <w:tcBorders>
                    <w:bottom w:val="single" w:color="FFFFFF" w:themeColor="background1" w:sz="18" w:space="0"/>
                  </w:tcBorders>
                  <w:shd w:val="clear" w:color="auto" w:fill="0096FF"/>
                  <w:vAlign w:val="center"/>
                </w:tcPr>
                <w:p w:rsidRPr="00C43185" w:rsidR="00F56951" w:rsidP="001B36EE" w:rsidRDefault="00F56951" w14:paraId="0B7D3E4B" w14:textId="77777777">
                  <w:pPr>
                    <w:jc w:val="center"/>
                    <w:rPr>
                      <w:rFonts w:ascii="Poppins" w:hAnsi="Poppins" w:cs="Poppins"/>
                    </w:rPr>
                  </w:pPr>
                  <w:r w:rsidRPr="00C43185">
                    <w:rPr>
                      <w:rFonts w:ascii="Poppins" w:hAnsi="Poppins" w:cs="Poppins"/>
                    </w:rPr>
                    <w:t>Benefit</w:t>
                  </w:r>
                </w:p>
              </w:tc>
              <w:tc>
                <w:tcPr>
                  <w:tcW w:w="1314" w:type="dxa"/>
                  <w:tcBorders>
                    <w:bottom w:val="single" w:color="FFFFFF" w:themeColor="background1" w:sz="18" w:space="0"/>
                  </w:tcBorders>
                  <w:shd w:val="clear" w:color="auto" w:fill="0096FF"/>
                  <w:vAlign w:val="center"/>
                </w:tcPr>
                <w:p w:rsidRPr="00C43185" w:rsidR="00F56951" w:rsidP="001B36EE" w:rsidRDefault="00F56951" w14:paraId="5ECB699C"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Baseline</w:t>
                  </w:r>
                </w:p>
              </w:tc>
              <w:tc>
                <w:tcPr>
                  <w:tcW w:w="1220" w:type="dxa"/>
                  <w:tcBorders>
                    <w:bottom w:val="single" w:color="FFFFFF" w:themeColor="background1" w:sz="18" w:space="0"/>
                  </w:tcBorders>
                  <w:shd w:val="clear" w:color="auto" w:fill="0096FF"/>
                  <w:vAlign w:val="center"/>
                </w:tcPr>
                <w:p w:rsidRPr="00C43185" w:rsidR="00F56951" w:rsidP="001B36EE" w:rsidRDefault="00F56951" w14:paraId="3C9F5F83"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Target</w:t>
                  </w:r>
                </w:p>
              </w:tc>
              <w:tc>
                <w:tcPr>
                  <w:tcW w:w="1810" w:type="dxa"/>
                  <w:tcBorders>
                    <w:bottom w:val="single" w:color="FFFFFF" w:themeColor="background1" w:sz="18" w:space="0"/>
                  </w:tcBorders>
                  <w:shd w:val="clear" w:color="auto" w:fill="0096FF"/>
                  <w:vAlign w:val="center"/>
                </w:tcPr>
                <w:p w:rsidRPr="00C43185" w:rsidR="00F56951" w:rsidP="001B36EE" w:rsidRDefault="00F56951" w14:paraId="491FF643"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Measurement method</w:t>
                  </w:r>
                </w:p>
              </w:tc>
              <w:tc>
                <w:tcPr>
                  <w:tcW w:w="1248" w:type="dxa"/>
                  <w:tcBorders>
                    <w:bottom w:val="single" w:color="FFFFFF" w:themeColor="background1" w:sz="18" w:space="0"/>
                  </w:tcBorders>
                  <w:shd w:val="clear" w:color="auto" w:fill="0096FF"/>
                  <w:vAlign w:val="center"/>
                </w:tcPr>
                <w:p w:rsidRPr="00C43185" w:rsidR="00F56951" w:rsidP="001B36EE" w:rsidRDefault="00F56951" w14:paraId="6A3741BA"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Review date</w:t>
                  </w:r>
                </w:p>
              </w:tc>
              <w:tc>
                <w:tcPr>
                  <w:tcW w:w="1218" w:type="dxa"/>
                  <w:tcBorders>
                    <w:bottom w:val="single" w:color="FFFFFF" w:themeColor="background1" w:sz="18" w:space="0"/>
                  </w:tcBorders>
                  <w:shd w:val="clear" w:color="auto" w:fill="0096FF"/>
                  <w:vAlign w:val="center"/>
                </w:tcPr>
                <w:p w:rsidRPr="00C43185" w:rsidR="00F56951" w:rsidP="001B36EE" w:rsidRDefault="00F56951" w14:paraId="64E17128"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Owner</w:t>
                  </w:r>
                </w:p>
              </w:tc>
            </w:tr>
            <w:tr w:rsidRPr="00C43185" w:rsidR="00F56951" w:rsidTr="00EC685F" w14:paraId="3BB82A49" w14:textId="77777777">
              <w:trPr>
                <w:cnfStyle w:val="000000100000" w:firstRow="0" w:lastRow="0" w:firstColumn="0" w:lastColumn="0" w:oddVBand="0" w:evenVBand="0" w:oddHBand="1" w:evenHBand="0" w:firstRowFirstColumn="0" w:firstRowLastColumn="0" w:lastRowFirstColumn="0" w:lastRowLastColumn="0"/>
                <w:trHeight w:val="907"/>
                <w:jc w:val="center"/>
              </w:trPr>
              <w:tc>
                <w:tcPr>
                  <w:cnfStyle w:val="001000000000" w:firstRow="0" w:lastRow="0" w:firstColumn="1" w:lastColumn="0" w:oddVBand="0" w:evenVBand="0" w:oddHBand="0" w:evenHBand="0" w:firstRowFirstColumn="0" w:firstRowLastColumn="0" w:lastRowFirstColumn="0" w:lastRowLastColumn="0"/>
                  <w:tcW w:w="1242"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F4711F" w:rsidR="00F56951" w:rsidP="001B36EE" w:rsidRDefault="00F56951" w14:paraId="35159548" w14:textId="77777777">
                  <w:pPr>
                    <w:jc w:val="center"/>
                    <w:rPr>
                      <w:rFonts w:ascii="Poppins" w:hAnsi="Poppins" w:cs="Poppins"/>
                      <w:b w:val="0"/>
                      <w:bCs w:val="0"/>
                    </w:rPr>
                  </w:pPr>
                  <w:r w:rsidRPr="00F4711F">
                    <w:rPr>
                      <w:rFonts w:ascii="Poppins" w:hAnsi="Poppins" w:cs="Poppins"/>
                      <w:b w:val="0"/>
                      <w:bCs w:val="0"/>
                    </w:rPr>
                    <w:t>&lt;add text&gt;</w:t>
                  </w:r>
                </w:p>
              </w:tc>
              <w:tc>
                <w:tcPr>
                  <w:tcW w:w="1314" w:type="dxa"/>
                  <w:tcBorders>
                    <w:top w:val="single" w:color="FFFFFF" w:themeColor="background1" w:sz="18" w:space="0"/>
                    <w:bottom w:val="none" w:color="auto" w:sz="0" w:space="0"/>
                  </w:tcBorders>
                  <w:shd w:val="clear" w:color="auto" w:fill="F2F2F2" w:themeFill="background1" w:themeFillShade="F2"/>
                  <w:vAlign w:val="center"/>
                </w:tcPr>
                <w:p w:rsidRPr="00C43185" w:rsidR="00F56951" w:rsidP="001B36EE" w:rsidRDefault="00F56951" w14:paraId="180CCC0B"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220" w:type="dxa"/>
                  <w:tcBorders>
                    <w:top w:val="single" w:color="FFFFFF" w:themeColor="background1" w:sz="18" w:space="0"/>
                    <w:bottom w:val="none" w:color="auto" w:sz="0" w:space="0"/>
                  </w:tcBorders>
                  <w:shd w:val="clear" w:color="auto" w:fill="F2F2F2" w:themeFill="background1" w:themeFillShade="F2"/>
                  <w:vAlign w:val="center"/>
                </w:tcPr>
                <w:p w:rsidRPr="00C43185" w:rsidR="00F56951" w:rsidP="001B36EE" w:rsidRDefault="00F56951" w14:paraId="3DFC7027"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810" w:type="dxa"/>
                  <w:tcBorders>
                    <w:top w:val="single" w:color="FFFFFF" w:themeColor="background1" w:sz="18" w:space="0"/>
                    <w:bottom w:val="none" w:color="auto" w:sz="0" w:space="0"/>
                  </w:tcBorders>
                  <w:shd w:val="clear" w:color="auto" w:fill="F2F2F2" w:themeFill="background1" w:themeFillShade="F2"/>
                  <w:vAlign w:val="center"/>
                </w:tcPr>
                <w:p w:rsidRPr="00C43185" w:rsidR="00F56951" w:rsidP="001B36EE" w:rsidRDefault="00F56951" w14:paraId="18675DD0" w14:textId="00DF4484">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 xml:space="preserve">&lt;add </w:t>
                  </w:r>
                  <w:r w:rsidR="00EC685F">
                    <w:rPr>
                      <w:rFonts w:ascii="Poppins" w:hAnsi="Poppins" w:cs="Poppins"/>
                    </w:rPr>
                    <w:br/>
                  </w:r>
                  <w:r w:rsidRPr="00C43185">
                    <w:rPr>
                      <w:rFonts w:ascii="Poppins" w:hAnsi="Poppins" w:cs="Poppins"/>
                    </w:rPr>
                    <w:t>text&gt;</w:t>
                  </w:r>
                </w:p>
              </w:tc>
              <w:tc>
                <w:tcPr>
                  <w:tcW w:w="1248" w:type="dxa"/>
                  <w:tcBorders>
                    <w:top w:val="single" w:color="FFFFFF" w:themeColor="background1" w:sz="18" w:space="0"/>
                    <w:bottom w:val="none" w:color="auto" w:sz="0" w:space="0"/>
                  </w:tcBorders>
                  <w:shd w:val="clear" w:color="auto" w:fill="F2F2F2" w:themeFill="background1" w:themeFillShade="F2"/>
                  <w:vAlign w:val="center"/>
                </w:tcPr>
                <w:p w:rsidRPr="00C43185" w:rsidR="00F56951" w:rsidP="001B36EE" w:rsidRDefault="00F56951" w14:paraId="5086BFA4"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1218"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F56951" w:rsidP="001B36EE" w:rsidRDefault="00F56951" w14:paraId="5C72D091"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C43185" w:rsidR="00F56951" w:rsidP="001B36EE" w:rsidRDefault="00F56951" w14:paraId="240E464E" w14:textId="4F29A449">
            <w:pPr>
              <w:rPr>
                <w:rFonts w:ascii="Poppins" w:hAnsi="Poppins" w:eastAsia="Calibri" w:cs="Poppins"/>
                <w:color w:val="A6A6A6" w:themeColor="background1" w:themeShade="A6"/>
              </w:rPr>
            </w:pPr>
          </w:p>
          <w:p w:rsidRPr="002D5CF5" w:rsidR="00F56951" w:rsidP="001B36EE" w:rsidRDefault="006F5DBA" w14:paraId="630FCC96" w14:textId="4F6710A5">
            <w:pPr>
              <w:pStyle w:val="Heading2"/>
              <w:spacing w:before="0" w:after="60"/>
              <w:rPr>
                <w:rFonts w:ascii="Poppins" w:hAnsi="Poppins" w:cs="Poppins"/>
                <w:color w:val="0023C8"/>
              </w:rPr>
            </w:pPr>
            <w:bookmarkStart w:name="_Toc229391547" w:id="32"/>
            <w:r w:rsidRPr="002D5CF5">
              <w:rPr>
                <w:rFonts w:ascii="Poppins" w:hAnsi="Poppins" w:cs="Poppins"/>
                <w:color w:val="0023C8"/>
              </w:rPr>
              <w:t>5.3 Clinical and medicines governance</w:t>
            </w:r>
            <w:bookmarkEnd w:id="32"/>
          </w:p>
          <w:p w:rsidRPr="000E4452" w:rsidR="00D11771" w:rsidP="001B36EE" w:rsidRDefault="006F5DBA" w14:paraId="46500778" w14:textId="2D352C81">
            <w:pPr>
              <w:spacing w:after="6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 xml:space="preserve">&lt;Provide details of assurance of clinical and medicines governance for the service in line with your local template. Examples of suggested </w:t>
            </w:r>
            <w:r w:rsidRPr="000E4452" w:rsidR="00D11771">
              <w:rPr>
                <w:rFonts w:ascii="Poppins" w:hAnsi="Poppins" w:eastAsia="Calibri" w:cs="Poppins"/>
                <w:color w:val="A6A6A6" w:themeColor="background1" w:themeShade="A6"/>
                <w:sz w:val="20"/>
                <w:szCs w:val="20"/>
              </w:rPr>
              <w:t>topics you may wish to cover are given below:</w:t>
            </w:r>
          </w:p>
          <w:p w:rsidRPr="000E4452" w:rsidR="00D11771" w:rsidP="001B36EE" w:rsidRDefault="00D11771" w14:paraId="62D2EAED" w14:textId="711887B8">
            <w:pPr>
              <w:pStyle w:val="ListParagraph"/>
              <w:numPr>
                <w:ilvl w:val="0"/>
                <w:numId w:val="39"/>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Training and communication</w:t>
            </w:r>
            <w:r w:rsidRPr="000E4452">
              <w:rPr>
                <w:rFonts w:ascii="Poppins" w:hAnsi="Poppins" w:eastAsia="Calibri" w:cs="Poppins"/>
                <w:color w:val="A6A6A6" w:themeColor="background1" w:themeShade="A6"/>
                <w:sz w:val="20"/>
                <w:szCs w:val="20"/>
              </w:rPr>
              <w:t>: Outline training for infusion competencies, aseptic technique, anaphylaxis management, and patient education</w:t>
            </w:r>
          </w:p>
          <w:p w:rsidRPr="000E4452" w:rsidR="00D11771" w:rsidP="001B36EE" w:rsidRDefault="00D11771" w14:paraId="2705AB15" w14:textId="1A11BB62">
            <w:pPr>
              <w:pStyle w:val="ListParagraph"/>
              <w:numPr>
                <w:ilvl w:val="0"/>
                <w:numId w:val="39"/>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Clinical pathway and eligibility</w:t>
            </w:r>
            <w:r w:rsidRPr="000E4452">
              <w:rPr>
                <w:rFonts w:ascii="Poppins" w:hAnsi="Poppins" w:eastAsia="Calibri" w:cs="Poppins"/>
                <w:color w:val="A6A6A6" w:themeColor="background1" w:themeShade="A6"/>
                <w:sz w:val="20"/>
                <w:szCs w:val="20"/>
              </w:rPr>
              <w:t>: Define inclusion/exclusion criteria, prescription-to-infusion steps, and escalation</w:t>
            </w:r>
          </w:p>
          <w:p w:rsidRPr="000E4452" w:rsidR="00D11771" w:rsidP="001B36EE" w:rsidRDefault="00D11771" w14:paraId="31F02ACF" w14:textId="64982107">
            <w:pPr>
              <w:pStyle w:val="ListParagraph"/>
              <w:numPr>
                <w:ilvl w:val="0"/>
                <w:numId w:val="39"/>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 xml:space="preserve">Safety and monitoring: </w:t>
            </w:r>
            <w:r w:rsidRPr="000E4452">
              <w:rPr>
                <w:rFonts w:ascii="Poppins" w:hAnsi="Poppins" w:eastAsia="Calibri" w:cs="Poppins"/>
                <w:color w:val="A6A6A6" w:themeColor="background1" w:themeShade="A6"/>
                <w:sz w:val="20"/>
                <w:szCs w:val="20"/>
              </w:rPr>
              <w:t xml:space="preserve">Describe observation schedule, infusion reactions, extravasation, </w:t>
            </w:r>
            <w:r w:rsidR="00F25454">
              <w:rPr>
                <w:rFonts w:ascii="Poppins" w:hAnsi="Poppins" w:eastAsia="Calibri" w:cs="Poppins"/>
                <w:color w:val="A6A6A6" w:themeColor="background1" w:themeShade="A6"/>
                <w:sz w:val="20"/>
                <w:szCs w:val="20"/>
              </w:rPr>
              <w:t xml:space="preserve">PICC line support </w:t>
            </w:r>
            <w:r w:rsidRPr="000E4452">
              <w:rPr>
                <w:rFonts w:ascii="Poppins" w:hAnsi="Poppins" w:eastAsia="Calibri" w:cs="Poppins"/>
                <w:color w:val="A6A6A6" w:themeColor="background1" w:themeShade="A6"/>
                <w:sz w:val="20"/>
                <w:szCs w:val="20"/>
              </w:rPr>
              <w:t>and anaphylaxis protocol. Appendix 3 contains information on dosing schedule, adverse event mitigation and management considerations</w:t>
            </w:r>
          </w:p>
          <w:p w:rsidRPr="000E4452" w:rsidR="00F86A06" w:rsidP="001B36EE" w:rsidRDefault="00295B83" w14:paraId="5D5142FA" w14:textId="0C712FF1">
            <w:pPr>
              <w:pStyle w:val="ListParagraph"/>
              <w:numPr>
                <w:ilvl w:val="0"/>
                <w:numId w:val="39"/>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Aseptic preparation and storage</w:t>
            </w:r>
            <w:r w:rsidRPr="000E4452">
              <w:rPr>
                <w:rFonts w:ascii="Poppins" w:hAnsi="Poppins" w:eastAsia="Calibri" w:cs="Poppins"/>
                <w:color w:val="A6A6A6" w:themeColor="background1" w:themeShade="A6"/>
                <w:sz w:val="20"/>
                <w:szCs w:val="20"/>
              </w:rPr>
              <w:t xml:space="preserve">: </w:t>
            </w:r>
            <w:r w:rsidRPr="000E4452" w:rsidR="00F86A06">
              <w:rPr>
                <w:rFonts w:ascii="Poppins" w:hAnsi="Poppins" w:eastAsia="Calibri" w:cs="Poppins"/>
                <w:color w:val="A6A6A6" w:themeColor="background1" w:themeShade="A6"/>
                <w:sz w:val="20"/>
                <w:szCs w:val="20"/>
              </w:rPr>
              <w:t xml:space="preserve">Describe aseptic </w:t>
            </w:r>
            <w:r w:rsidR="0042081F">
              <w:rPr>
                <w:rFonts w:ascii="Poppins" w:hAnsi="Poppins" w:eastAsia="Calibri" w:cs="Poppins"/>
                <w:color w:val="A6A6A6" w:themeColor="background1" w:themeShade="A6"/>
                <w:sz w:val="20"/>
                <w:szCs w:val="20"/>
              </w:rPr>
              <w:t>reconstitution</w:t>
            </w:r>
            <w:r w:rsidRPr="000E4452" w:rsidR="00F86A06">
              <w:rPr>
                <w:rFonts w:ascii="Poppins" w:hAnsi="Poppins" w:eastAsia="Calibri" w:cs="Poppins"/>
                <w:color w:val="A6A6A6" w:themeColor="background1" w:themeShade="A6"/>
                <w:sz w:val="20"/>
                <w:szCs w:val="20"/>
              </w:rPr>
              <w:t>, storage, stability, and cold chain</w:t>
            </w:r>
            <w:r w:rsidRPr="000E4452" w:rsidR="00CD246D">
              <w:rPr>
                <w:rFonts w:ascii="Poppins" w:hAnsi="Poppins" w:eastAsia="Calibri" w:cs="Poppins"/>
                <w:color w:val="A6A6A6" w:themeColor="background1" w:themeShade="A6"/>
                <w:sz w:val="20"/>
                <w:szCs w:val="20"/>
              </w:rPr>
              <w:t>. Appendix 4 contains information on preparation</w:t>
            </w:r>
            <w:r w:rsidRPr="000E4452" w:rsidR="007E421A">
              <w:rPr>
                <w:rFonts w:ascii="Poppins" w:hAnsi="Poppins" w:eastAsia="Calibri" w:cs="Poppins"/>
                <w:color w:val="A6A6A6" w:themeColor="background1" w:themeShade="A6"/>
                <w:sz w:val="20"/>
                <w:szCs w:val="20"/>
              </w:rPr>
              <w:t>,</w:t>
            </w:r>
            <w:r w:rsidRPr="000E4452" w:rsidR="00CD246D">
              <w:rPr>
                <w:rFonts w:ascii="Poppins" w:hAnsi="Poppins" w:eastAsia="Calibri" w:cs="Poppins"/>
                <w:color w:val="A6A6A6" w:themeColor="background1" w:themeShade="A6"/>
                <w:sz w:val="20"/>
                <w:szCs w:val="20"/>
              </w:rPr>
              <w:t xml:space="preserve"> storage</w:t>
            </w:r>
            <w:r w:rsidRPr="000E4452" w:rsidR="007E421A">
              <w:rPr>
                <w:rFonts w:ascii="Poppins" w:hAnsi="Poppins" w:eastAsia="Calibri" w:cs="Poppins"/>
                <w:color w:val="A6A6A6" w:themeColor="background1" w:themeShade="A6"/>
                <w:sz w:val="20"/>
                <w:szCs w:val="20"/>
              </w:rPr>
              <w:t xml:space="preserve"> and stability</w:t>
            </w:r>
          </w:p>
          <w:p w:rsidRPr="000E4452" w:rsidR="00F86A06" w:rsidP="001B36EE" w:rsidRDefault="00F86A06" w14:paraId="2D36AD9F" w14:textId="16DCDBA7">
            <w:pPr>
              <w:pStyle w:val="ListParagraph"/>
              <w:numPr>
                <w:ilvl w:val="0"/>
                <w:numId w:val="39"/>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Documentation and electronic prescri</w:t>
            </w:r>
            <w:r w:rsidRPr="000E4452" w:rsidR="009154B9">
              <w:rPr>
                <w:rFonts w:ascii="Poppins" w:hAnsi="Poppins" w:eastAsia="Calibri" w:cs="Poppins"/>
                <w:b/>
                <w:bCs/>
                <w:color w:val="A6A6A6" w:themeColor="background1" w:themeShade="A6"/>
                <w:sz w:val="20"/>
                <w:szCs w:val="20"/>
              </w:rPr>
              <w:t>bing and medicines administration</w:t>
            </w:r>
            <w:r w:rsidRPr="000E4452">
              <w:rPr>
                <w:rFonts w:ascii="Poppins" w:hAnsi="Poppins" w:eastAsia="Calibri" w:cs="Poppins"/>
                <w:b/>
                <w:bCs/>
                <w:color w:val="A6A6A6" w:themeColor="background1" w:themeShade="A6"/>
                <w:sz w:val="20"/>
                <w:szCs w:val="20"/>
              </w:rPr>
              <w:t xml:space="preserve"> (</w:t>
            </w:r>
            <w:r w:rsidRPr="000E4452" w:rsidR="009154B9">
              <w:rPr>
                <w:rFonts w:ascii="Poppins" w:hAnsi="Poppins" w:eastAsia="Calibri" w:cs="Poppins"/>
                <w:b/>
                <w:bCs/>
                <w:color w:val="A6A6A6" w:themeColor="background1" w:themeShade="A6"/>
                <w:sz w:val="20"/>
                <w:szCs w:val="20"/>
              </w:rPr>
              <w:t>ePMA</w:t>
            </w:r>
            <w:r w:rsidRPr="000E4452">
              <w:rPr>
                <w:rFonts w:ascii="Poppins" w:hAnsi="Poppins" w:eastAsia="Calibri" w:cs="Poppins"/>
                <w:b/>
                <w:bCs/>
                <w:color w:val="A6A6A6" w:themeColor="background1" w:themeShade="A6"/>
                <w:sz w:val="20"/>
                <w:szCs w:val="20"/>
              </w:rPr>
              <w:t>) integration</w:t>
            </w:r>
            <w:r w:rsidRPr="000E4452">
              <w:rPr>
                <w:rFonts w:ascii="Poppins" w:hAnsi="Poppins" w:eastAsia="Calibri" w:cs="Poppins"/>
                <w:color w:val="A6A6A6" w:themeColor="background1" w:themeShade="A6"/>
                <w:sz w:val="20"/>
                <w:szCs w:val="20"/>
              </w:rPr>
              <w:t xml:space="preserve">: Provide details of how necessary documentation will be integrated into IT systems or completed manually, e.g., dosing calculators, </w:t>
            </w:r>
            <w:r w:rsidRPr="00692289" w:rsidR="009154B9">
              <w:rPr>
                <w:rFonts w:ascii="Poppins" w:hAnsi="Poppins" w:eastAsia="Calibri" w:cs="Poppins"/>
                <w:color w:val="A6A6A6" w:themeColor="background1" w:themeShade="A6"/>
                <w:sz w:val="20"/>
                <w:szCs w:val="20"/>
              </w:rPr>
              <w:t>ePMA</w:t>
            </w:r>
            <w:r w:rsidRPr="000E4452">
              <w:rPr>
                <w:rFonts w:ascii="Poppins" w:hAnsi="Poppins" w:eastAsia="Calibri" w:cs="Poppins"/>
                <w:color w:val="A6A6A6" w:themeColor="background1" w:themeShade="A6"/>
                <w:sz w:val="20"/>
                <w:szCs w:val="20"/>
              </w:rPr>
              <w:t xml:space="preserve"> templates, barcode medication administration</w:t>
            </w:r>
          </w:p>
          <w:p w:rsidRPr="000E4452" w:rsidR="00B90482" w:rsidP="001B36EE" w:rsidRDefault="00F86A06" w14:paraId="0140910F" w14:textId="3E101687">
            <w:pPr>
              <w:pStyle w:val="ListParagraph"/>
              <w:numPr>
                <w:ilvl w:val="0"/>
                <w:numId w:val="39"/>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Homecare provision:</w:t>
            </w:r>
            <w:r w:rsidRPr="000E4452">
              <w:rPr>
                <w:rFonts w:ascii="Poppins" w:hAnsi="Poppins" w:eastAsia="Calibri" w:cs="Poppins"/>
                <w:color w:val="A6A6A6" w:themeColor="background1" w:themeShade="A6"/>
                <w:sz w:val="20"/>
                <w:szCs w:val="20"/>
              </w:rPr>
              <w:t xml:space="preserve"> If shifting care out of hospital, define criteria, governance, and provider oversight</w:t>
            </w:r>
          </w:p>
          <w:p w:rsidRPr="00FD5127" w:rsidR="002D5CF5" w:rsidP="001B36EE" w:rsidRDefault="00B90482" w14:paraId="50A92BE6" w14:textId="457FF66B">
            <w:pPr>
              <w:pStyle w:val="ListParagraph"/>
              <w:numPr>
                <w:ilvl w:val="0"/>
                <w:numId w:val="39"/>
              </w:numPr>
              <w:spacing w:after="60"/>
              <w:ind w:left="360"/>
              <w:contextualSpacing w:val="0"/>
              <w:rPr>
                <w:rFonts w:ascii="Poppins" w:hAnsi="Poppins" w:eastAsia="Calibri" w:cs="Poppins"/>
                <w:b/>
                <w:bCs/>
                <w:color w:val="A6A6A6" w:themeColor="background1" w:themeShade="A6"/>
                <w:sz w:val="20"/>
                <w:szCs w:val="20"/>
              </w:rPr>
            </w:pPr>
            <w:r w:rsidRPr="000E4452">
              <w:rPr>
                <w:rFonts w:ascii="Poppins" w:hAnsi="Poppins" w:eastAsia="Calibri" w:cs="Poppins"/>
                <w:b/>
                <w:bCs/>
                <w:color w:val="A6A6A6" w:themeColor="background1" w:themeShade="A6"/>
                <w:sz w:val="20"/>
                <w:szCs w:val="20"/>
              </w:rPr>
              <w:t xml:space="preserve">Patient experience: </w:t>
            </w:r>
            <w:r w:rsidRPr="000E4452" w:rsidR="00F20238">
              <w:rPr>
                <w:rFonts w:ascii="Poppins" w:hAnsi="Poppins" w:eastAsia="Calibri" w:cs="Poppins"/>
                <w:color w:val="A6A6A6" w:themeColor="background1" w:themeShade="A6"/>
                <w:sz w:val="20"/>
                <w:szCs w:val="20"/>
              </w:rPr>
              <w:t>Provide details of how to propose to measure patient experience for the service including the tools you will use to collect feedback</w:t>
            </w:r>
            <w:r w:rsidR="00447C45">
              <w:rPr>
                <w:rFonts w:ascii="Poppins" w:hAnsi="Poppins" w:eastAsia="Calibri" w:cs="Poppins"/>
                <w:color w:val="A6A6A6" w:themeColor="background1" w:themeShade="A6"/>
                <w:sz w:val="20"/>
                <w:szCs w:val="20"/>
              </w:rPr>
              <w:t>&gt;</w:t>
            </w:r>
          </w:p>
          <w:p w:rsidRPr="002D5CF5" w:rsidR="00F56951" w:rsidP="001B36EE" w:rsidRDefault="00F86A06" w14:paraId="47D78769" w14:textId="24970F55">
            <w:pPr>
              <w:pStyle w:val="Heading2"/>
              <w:spacing w:before="240" w:after="60"/>
              <w:rPr>
                <w:rFonts w:ascii="Poppins" w:hAnsi="Poppins" w:cs="Poppins"/>
                <w:color w:val="0023C8"/>
              </w:rPr>
            </w:pPr>
            <w:bookmarkStart w:name="_Toc229391548" w:id="33"/>
            <w:r w:rsidRPr="002D5CF5">
              <w:rPr>
                <w:rFonts w:ascii="Poppins" w:hAnsi="Poppins" w:cs="Poppins"/>
                <w:color w:val="0023C8"/>
              </w:rPr>
              <w:t>5.4 Digital, estates and equipment</w:t>
            </w:r>
            <w:bookmarkEnd w:id="33"/>
          </w:p>
          <w:p w:rsidRPr="000E4452" w:rsidR="00F86A06" w:rsidP="001B36EE" w:rsidRDefault="00F86A06" w14:paraId="1F3AA285" w14:textId="36DC7A3E">
            <w:pPr>
              <w:spacing w:after="6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&lt;Provide details of service readiness relating to clinical areas, equipment and digital systems as in your local template. Examples of information to include are suggested below:</w:t>
            </w:r>
          </w:p>
          <w:p w:rsidRPr="000E4452" w:rsidR="009154B9" w:rsidP="001B36EE" w:rsidRDefault="009154B9" w14:paraId="78AD6DD6" w14:textId="3AB93CC0">
            <w:pPr>
              <w:pStyle w:val="ListParagraph"/>
              <w:numPr>
                <w:ilvl w:val="0"/>
                <w:numId w:val="40"/>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Estates/</w:t>
            </w:r>
            <w:r w:rsidRPr="000E4452" w:rsidR="00E10254">
              <w:rPr>
                <w:rFonts w:ascii="Poppins" w:hAnsi="Poppins" w:eastAsia="Calibri" w:cs="Poppins"/>
                <w:b/>
                <w:bCs/>
                <w:color w:val="A6A6A6" w:themeColor="background1" w:themeShade="A6"/>
                <w:sz w:val="20"/>
                <w:szCs w:val="20"/>
              </w:rPr>
              <w:t>c</w:t>
            </w:r>
            <w:r w:rsidRPr="000E4452">
              <w:rPr>
                <w:rFonts w:ascii="Poppins" w:hAnsi="Poppins" w:eastAsia="Calibri" w:cs="Poppins"/>
                <w:b/>
                <w:bCs/>
                <w:color w:val="A6A6A6" w:themeColor="background1" w:themeShade="A6"/>
                <w:sz w:val="20"/>
                <w:szCs w:val="20"/>
              </w:rPr>
              <w:t xml:space="preserve">linical area readiness: </w:t>
            </w:r>
            <w:r w:rsidRPr="000E4452">
              <w:rPr>
                <w:rFonts w:ascii="Poppins" w:hAnsi="Poppins" w:eastAsia="Calibri" w:cs="Poppins"/>
                <w:color w:val="A6A6A6" w:themeColor="background1" w:themeShade="A6"/>
                <w:sz w:val="20"/>
                <w:szCs w:val="20"/>
              </w:rPr>
              <w:t>Consider chairs, privacy, resus</w:t>
            </w:r>
            <w:r w:rsidR="00DC3A53">
              <w:rPr>
                <w:rFonts w:ascii="Poppins" w:hAnsi="Poppins" w:eastAsia="Calibri" w:cs="Poppins"/>
                <w:color w:val="A6A6A6" w:themeColor="background1" w:themeShade="A6"/>
                <w:sz w:val="20"/>
                <w:szCs w:val="20"/>
              </w:rPr>
              <w:t>citation</w:t>
            </w:r>
            <w:r w:rsidRPr="000E4452">
              <w:rPr>
                <w:rFonts w:ascii="Poppins" w:hAnsi="Poppins" w:eastAsia="Calibri" w:cs="Poppins"/>
                <w:color w:val="A6A6A6" w:themeColor="background1" w:themeShade="A6"/>
                <w:sz w:val="20"/>
                <w:szCs w:val="20"/>
              </w:rPr>
              <w:t xml:space="preserve"> access, sinks, waste</w:t>
            </w:r>
          </w:p>
          <w:p w:rsidRPr="00FD5127" w:rsidR="00F56951" w:rsidP="001B36EE" w:rsidRDefault="009154B9" w14:paraId="74CCFBBD" w14:textId="244294B2">
            <w:pPr>
              <w:pStyle w:val="ListParagraph"/>
              <w:numPr>
                <w:ilvl w:val="0"/>
                <w:numId w:val="40"/>
              </w:numPr>
              <w:spacing w:after="60"/>
              <w:ind w:left="360"/>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Digital enablement:</w:t>
            </w:r>
            <w:r w:rsidRPr="000E4452">
              <w:rPr>
                <w:rFonts w:ascii="Poppins" w:hAnsi="Poppins" w:cs="Poppins"/>
                <w:sz w:val="20"/>
                <w:szCs w:val="20"/>
              </w:rPr>
              <w:t xml:space="preserve"> </w:t>
            </w:r>
            <w:r w:rsidRPr="000E4452">
              <w:rPr>
                <w:rFonts w:ascii="Poppins" w:hAnsi="Poppins" w:eastAsia="Calibri" w:cs="Poppins"/>
                <w:color w:val="A6A6A6" w:themeColor="background1" w:themeShade="A6"/>
                <w:sz w:val="20"/>
                <w:szCs w:val="20"/>
              </w:rPr>
              <w:t>Consider EPR integration, scheduling, remote monitoring, dashboards for KPIs</w:t>
            </w:r>
            <w:r w:rsidR="00447C45">
              <w:rPr>
                <w:rFonts w:ascii="Poppins" w:hAnsi="Poppins" w:eastAsia="Calibri" w:cs="Poppins"/>
                <w:color w:val="A6A6A6" w:themeColor="background1" w:themeShade="A6"/>
                <w:sz w:val="20"/>
                <w:szCs w:val="20"/>
              </w:rPr>
              <w:t>&gt;</w:t>
            </w:r>
          </w:p>
          <w:p w:rsidRPr="002D5CF5" w:rsidR="00F56951" w:rsidP="001B36EE" w:rsidRDefault="009154B9" w14:paraId="699CF89D" w14:textId="28F065AC">
            <w:pPr>
              <w:pStyle w:val="Heading2"/>
              <w:spacing w:before="240" w:after="60"/>
              <w:rPr>
                <w:rFonts w:ascii="Poppins" w:hAnsi="Poppins" w:cs="Poppins"/>
                <w:color w:val="0023C8"/>
              </w:rPr>
            </w:pPr>
            <w:bookmarkStart w:name="_Toc229391549" w:id="34"/>
            <w:r w:rsidRPr="002D5CF5">
              <w:rPr>
                <w:rFonts w:ascii="Poppins" w:hAnsi="Poppins" w:cs="Poppins"/>
                <w:color w:val="0023C8"/>
              </w:rPr>
              <w:t>5.5 Equality, data and regulatory</w:t>
            </w:r>
            <w:r w:rsidR="007070E6">
              <w:rPr>
                <w:rFonts w:ascii="Poppins" w:hAnsi="Poppins" w:cs="Poppins"/>
                <w:color w:val="0023C8"/>
              </w:rPr>
              <w:t xml:space="preserve"> standards</w:t>
            </w:r>
            <w:bookmarkEnd w:id="34"/>
          </w:p>
          <w:p w:rsidRPr="000E4452" w:rsidR="009154B9" w:rsidP="001B36EE" w:rsidRDefault="009154B9" w14:paraId="508E07B7" w14:textId="5B8D587C">
            <w:pPr>
              <w:spacing w:after="6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&lt;Provide details in line with local template of equality impact assessment, data protection assessment and that regulatory standards have been met in relation to the service. Examples of information you may wish to provide are given below:</w:t>
            </w:r>
          </w:p>
          <w:p w:rsidRPr="00FD5127" w:rsidR="00FD5127" w:rsidP="001B36EE" w:rsidRDefault="009154B9" w14:paraId="6BE48172" w14:textId="7376B14C">
            <w:pPr>
              <w:pStyle w:val="ListParagraph"/>
              <w:numPr>
                <w:ilvl w:val="0"/>
                <w:numId w:val="31"/>
              </w:numPr>
              <w:spacing w:after="240"/>
              <w:ind w:left="357" w:hanging="357"/>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Equality Impact Assessment</w:t>
            </w:r>
            <w:r w:rsidRPr="000E4452" w:rsidR="000E73AD">
              <w:rPr>
                <w:rFonts w:ascii="Poppins" w:hAnsi="Poppins" w:eastAsia="Calibri" w:cs="Poppins"/>
                <w:b/>
                <w:bCs/>
                <w:color w:val="A6A6A6" w:themeColor="background1" w:themeShade="A6"/>
                <w:sz w:val="20"/>
                <w:szCs w:val="20"/>
              </w:rPr>
              <w:t xml:space="preserve"> (EqIA)</w:t>
            </w:r>
            <w:r w:rsidRPr="000E4452">
              <w:rPr>
                <w:rFonts w:ascii="Poppins" w:hAnsi="Poppins" w:eastAsia="Calibri" w:cs="Poppins"/>
                <w:b/>
                <w:bCs/>
                <w:color w:val="A6A6A6" w:themeColor="background1" w:themeShade="A6"/>
                <w:sz w:val="20"/>
                <w:szCs w:val="20"/>
              </w:rPr>
              <w:t xml:space="preserve">: </w:t>
            </w:r>
            <w:r w:rsidRPr="000E4452" w:rsidR="000E73AD">
              <w:rPr>
                <w:rFonts w:ascii="Poppins" w:hAnsi="Poppins" w:eastAsia="Calibri" w:cs="Poppins"/>
                <w:color w:val="A6A6A6" w:themeColor="background1" w:themeShade="A6"/>
                <w:sz w:val="20"/>
                <w:szCs w:val="20"/>
              </w:rPr>
              <w:t>Complete the necessary EqIA for the service</w:t>
            </w:r>
            <w:r w:rsidR="008F2A97">
              <w:rPr>
                <w:rFonts w:ascii="Poppins" w:hAnsi="Poppins" w:eastAsia="Calibri" w:cs="Poppins"/>
                <w:color w:val="A6A6A6" w:themeColor="background1" w:themeShade="A6"/>
                <w:sz w:val="20"/>
                <w:szCs w:val="20"/>
              </w:rPr>
              <w:t xml:space="preserve"> (see section 3.5 for further information)</w:t>
            </w:r>
            <w:r w:rsidRPr="000E4452" w:rsidR="000E73AD">
              <w:rPr>
                <w:rFonts w:ascii="Poppins" w:hAnsi="Poppins" w:eastAsia="Calibri" w:cs="Poppins"/>
                <w:color w:val="A6A6A6" w:themeColor="background1" w:themeShade="A6"/>
                <w:sz w:val="20"/>
                <w:szCs w:val="20"/>
              </w:rPr>
              <w:t xml:space="preserve">. An example of </w:t>
            </w:r>
            <w:r w:rsidRPr="000E4452" w:rsidR="004F4111">
              <w:rPr>
                <w:rFonts w:ascii="Poppins" w:hAnsi="Poppins" w:eastAsia="Calibri" w:cs="Poppins"/>
                <w:color w:val="A6A6A6" w:themeColor="background1" w:themeShade="A6"/>
                <w:sz w:val="20"/>
                <w:szCs w:val="20"/>
              </w:rPr>
              <w:t>suggested information is below:</w:t>
            </w:r>
          </w:p>
          <w:tbl>
            <w:tblPr>
              <w:tblStyle w:val="LightList-Accent1"/>
              <w:tblW w:w="0" w:type="auto"/>
              <w:jc w:val="center"/>
              <w:tblBorders>
                <w:top w:val="none" w:color="auto" w:sz="0" w:space="0"/>
                <w:left w:val="none" w:color="auto" w:sz="0" w:space="0"/>
                <w:bottom w:val="none" w:color="auto" w:sz="0" w:space="0"/>
                <w:right w:val="none" w:color="auto" w:sz="0" w:space="0"/>
              </w:tblBorders>
              <w:tblLook w:val="04A0" w:firstRow="1" w:lastRow="0" w:firstColumn="1" w:lastColumn="0" w:noHBand="0" w:noVBand="1"/>
            </w:tblPr>
            <w:tblGrid>
              <w:gridCol w:w="2099"/>
              <w:gridCol w:w="1996"/>
              <w:gridCol w:w="2021"/>
              <w:gridCol w:w="1946"/>
            </w:tblGrid>
            <w:tr w:rsidRPr="00C43185" w:rsidR="004F4111" w:rsidTr="00F4711F" w14:paraId="30739040" w14:textId="77777777">
              <w:trPr>
                <w:cnfStyle w:val="100000000000" w:firstRow="1" w:lastRow="0" w:firstColumn="0" w:lastColumn="0" w:oddVBand="0" w:evenVBand="0" w:oddHBand="0" w:evenHBand="0" w:firstRowFirstColumn="0" w:firstRowLastColumn="0" w:lastRowFirstColumn="0" w:lastRowLastColumn="0"/>
                <w:trHeight w:val="794"/>
                <w:jc w:val="center"/>
              </w:trPr>
              <w:tc>
                <w:tcPr>
                  <w:cnfStyle w:val="001000000000" w:firstRow="0" w:lastRow="0" w:firstColumn="1" w:lastColumn="0" w:oddVBand="0" w:evenVBand="0" w:oddHBand="0" w:evenHBand="0" w:firstRowFirstColumn="0" w:firstRowLastColumn="0" w:lastRowFirstColumn="0" w:lastRowLastColumn="0"/>
                  <w:tcW w:w="2160" w:type="dxa"/>
                  <w:tcBorders>
                    <w:bottom w:val="single" w:color="FFFFFF" w:themeColor="background1" w:sz="18" w:space="0"/>
                  </w:tcBorders>
                  <w:shd w:val="clear" w:color="auto" w:fill="0096FF"/>
                  <w:vAlign w:val="center"/>
                </w:tcPr>
                <w:p w:rsidRPr="00C43185" w:rsidR="004F4111" w:rsidP="001B36EE" w:rsidRDefault="004F4111" w14:paraId="636B29DB" w14:textId="77777777">
                  <w:pPr>
                    <w:jc w:val="center"/>
                    <w:rPr>
                      <w:rFonts w:ascii="Poppins" w:hAnsi="Poppins" w:cs="Poppins"/>
                    </w:rPr>
                  </w:pPr>
                  <w:r w:rsidRPr="00C43185">
                    <w:rPr>
                      <w:rFonts w:ascii="Poppins" w:hAnsi="Poppins" w:cs="Poppins"/>
                    </w:rPr>
                    <w:t>Protected characteristic</w:t>
                  </w:r>
                </w:p>
              </w:tc>
              <w:tc>
                <w:tcPr>
                  <w:tcW w:w="2160" w:type="dxa"/>
                  <w:tcBorders>
                    <w:bottom w:val="single" w:color="FFFFFF" w:themeColor="background1" w:sz="18" w:space="0"/>
                  </w:tcBorders>
                  <w:shd w:val="clear" w:color="auto" w:fill="0096FF"/>
                  <w:vAlign w:val="center"/>
                </w:tcPr>
                <w:p w:rsidRPr="00C43185" w:rsidR="004F4111" w:rsidP="001B36EE" w:rsidRDefault="004F4111" w14:paraId="2131974B"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Potential impact</w:t>
                  </w:r>
                </w:p>
              </w:tc>
              <w:tc>
                <w:tcPr>
                  <w:tcW w:w="2160" w:type="dxa"/>
                  <w:tcBorders>
                    <w:bottom w:val="single" w:color="FFFFFF" w:themeColor="background1" w:sz="18" w:space="0"/>
                  </w:tcBorders>
                  <w:shd w:val="clear" w:color="auto" w:fill="0096FF"/>
                  <w:vAlign w:val="center"/>
                </w:tcPr>
                <w:p w:rsidRPr="00C43185" w:rsidR="004F4111" w:rsidP="001B36EE" w:rsidRDefault="004F4111" w14:paraId="0685DED5"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Mitigation</w:t>
                  </w:r>
                </w:p>
              </w:tc>
              <w:tc>
                <w:tcPr>
                  <w:tcW w:w="2160" w:type="dxa"/>
                  <w:tcBorders>
                    <w:bottom w:val="single" w:color="FFFFFF" w:themeColor="background1" w:sz="18" w:space="0"/>
                  </w:tcBorders>
                  <w:shd w:val="clear" w:color="auto" w:fill="0096FF"/>
                  <w:vAlign w:val="center"/>
                </w:tcPr>
                <w:p w:rsidRPr="00C43185" w:rsidR="004F4111" w:rsidP="001B36EE" w:rsidRDefault="004F4111" w14:paraId="58C248E6" w14:textId="77777777">
                  <w:pPr>
                    <w:jc w:val="center"/>
                    <w:cnfStyle w:val="100000000000" w:firstRow="1" w:lastRow="0" w:firstColumn="0" w:lastColumn="0" w:oddVBand="0" w:evenVBand="0" w:oddHBand="0" w:evenHBand="0" w:firstRowFirstColumn="0" w:firstRowLastColumn="0" w:lastRowFirstColumn="0" w:lastRowLastColumn="0"/>
                    <w:rPr>
                      <w:rFonts w:ascii="Poppins" w:hAnsi="Poppins" w:cs="Poppins"/>
                    </w:rPr>
                  </w:pPr>
                  <w:r w:rsidRPr="00C43185">
                    <w:rPr>
                      <w:rFonts w:ascii="Poppins" w:hAnsi="Poppins" w:cs="Poppins"/>
                    </w:rPr>
                    <w:t>Owner</w:t>
                  </w:r>
                </w:p>
              </w:tc>
            </w:tr>
            <w:tr w:rsidRPr="00C43185" w:rsidR="004F4111" w:rsidTr="00FD5127" w14:paraId="6EE539F8" w14:textId="77777777">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color="FFFFFF" w:themeColor="background1" w:sz="18" w:space="0"/>
                    <w:left w:val="none" w:color="auto" w:sz="0" w:space="0"/>
                    <w:bottom w:val="none" w:color="auto" w:sz="0" w:space="0"/>
                  </w:tcBorders>
                  <w:shd w:val="clear" w:color="auto" w:fill="F2F2F2" w:themeFill="background1" w:themeFillShade="F2"/>
                  <w:vAlign w:val="center"/>
                </w:tcPr>
                <w:p w:rsidRPr="00C43185" w:rsidR="004F4111" w:rsidP="001B36EE" w:rsidRDefault="004F4111" w14:paraId="5C71A1EB" w14:textId="77777777">
                  <w:pPr>
                    <w:jc w:val="center"/>
                    <w:rPr>
                      <w:rFonts w:ascii="Poppins" w:hAnsi="Poppins" w:cs="Poppins"/>
                    </w:rPr>
                  </w:pPr>
                  <w:r w:rsidRPr="00C43185">
                    <w:rPr>
                      <w:rFonts w:ascii="Poppins" w:hAnsi="Poppins" w:cs="Poppins"/>
                    </w:rPr>
                    <w:t>&lt;add text&gt;</w:t>
                  </w:r>
                </w:p>
              </w:tc>
              <w:tc>
                <w:tcPr>
                  <w:tcW w:w="2160" w:type="dxa"/>
                  <w:tcBorders>
                    <w:top w:val="single" w:color="FFFFFF" w:themeColor="background1" w:sz="18" w:space="0"/>
                    <w:bottom w:val="none" w:color="auto" w:sz="0" w:space="0"/>
                  </w:tcBorders>
                  <w:shd w:val="clear" w:color="auto" w:fill="F2F2F2" w:themeFill="background1" w:themeFillShade="F2"/>
                  <w:vAlign w:val="center"/>
                </w:tcPr>
                <w:p w:rsidRPr="00C43185" w:rsidR="004F4111" w:rsidP="001B36EE" w:rsidRDefault="004F4111" w14:paraId="0E5D96D5"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color="FFFFFF" w:themeColor="background1" w:sz="18" w:space="0"/>
                    <w:bottom w:val="none" w:color="auto" w:sz="0" w:space="0"/>
                  </w:tcBorders>
                  <w:shd w:val="clear" w:color="auto" w:fill="F2F2F2" w:themeFill="background1" w:themeFillShade="F2"/>
                  <w:vAlign w:val="center"/>
                </w:tcPr>
                <w:p w:rsidRPr="00C43185" w:rsidR="004F4111" w:rsidP="001B36EE" w:rsidRDefault="004F4111" w14:paraId="3770106B"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c>
                <w:tcPr>
                  <w:tcW w:w="2160" w:type="dxa"/>
                  <w:tcBorders>
                    <w:top w:val="single" w:color="FFFFFF" w:themeColor="background1" w:sz="18" w:space="0"/>
                    <w:bottom w:val="none" w:color="auto" w:sz="0" w:space="0"/>
                    <w:right w:val="none" w:color="auto" w:sz="0" w:space="0"/>
                  </w:tcBorders>
                  <w:shd w:val="clear" w:color="auto" w:fill="F2F2F2" w:themeFill="background1" w:themeFillShade="F2"/>
                  <w:vAlign w:val="center"/>
                </w:tcPr>
                <w:p w:rsidRPr="00C43185" w:rsidR="004F4111" w:rsidP="001B36EE" w:rsidRDefault="004F4111" w14:paraId="6132A4B2" w14:textId="77777777">
                  <w:pPr>
                    <w:jc w:val="center"/>
                    <w:cnfStyle w:val="000000100000" w:firstRow="0" w:lastRow="0" w:firstColumn="0" w:lastColumn="0" w:oddVBand="0" w:evenVBand="0" w:oddHBand="1" w:evenHBand="0" w:firstRowFirstColumn="0" w:firstRowLastColumn="0" w:lastRowFirstColumn="0" w:lastRowLastColumn="0"/>
                    <w:rPr>
                      <w:rFonts w:ascii="Poppins" w:hAnsi="Poppins" w:cs="Poppins"/>
                    </w:rPr>
                  </w:pPr>
                  <w:r w:rsidRPr="00C43185">
                    <w:rPr>
                      <w:rFonts w:ascii="Poppins" w:hAnsi="Poppins" w:cs="Poppins"/>
                    </w:rPr>
                    <w:t>&lt;add text&gt;</w:t>
                  </w:r>
                </w:p>
              </w:tc>
            </w:tr>
          </w:tbl>
          <w:p w:rsidRPr="00C43185" w:rsidR="00F56951" w:rsidP="001B36EE" w:rsidRDefault="00F56951" w14:paraId="0AA336E0" w14:textId="77777777">
            <w:pPr>
              <w:rPr>
                <w:rFonts w:ascii="Poppins" w:hAnsi="Poppins" w:eastAsia="Calibri" w:cs="Poppins"/>
                <w:color w:val="A6A6A6" w:themeColor="background1" w:themeShade="A6"/>
              </w:rPr>
            </w:pPr>
          </w:p>
          <w:p w:rsidRPr="000E4452" w:rsidR="004F4111" w:rsidP="001B36EE" w:rsidRDefault="004F4111" w14:paraId="47878B0C" w14:textId="2364591D">
            <w:pPr>
              <w:pStyle w:val="ListParagraph"/>
              <w:numPr>
                <w:ilvl w:val="0"/>
                <w:numId w:val="31"/>
              </w:numPr>
              <w:spacing w:after="60"/>
              <w:ind w:left="357" w:hanging="357"/>
              <w:contextualSpacing w:val="0"/>
              <w:rPr>
                <w:rFonts w:ascii="Poppins" w:hAnsi="Poppins" w:eastAsia="Calibri" w:cs="Poppins"/>
                <w:color w:val="A6A6A6" w:themeColor="background1" w:themeShade="A6"/>
                <w:sz w:val="20"/>
                <w:szCs w:val="20"/>
              </w:rPr>
            </w:pPr>
            <w:r w:rsidRPr="000E4452">
              <w:rPr>
                <w:rFonts w:ascii="Poppins" w:hAnsi="Poppins" w:eastAsia="Calibri" w:cs="Poppins"/>
                <w:b/>
                <w:bCs/>
                <w:color w:val="A6A6A6" w:themeColor="background1" w:themeShade="A6"/>
                <w:sz w:val="20"/>
                <w:szCs w:val="20"/>
              </w:rPr>
              <w:t>Data protection</w:t>
            </w:r>
            <w:r w:rsidRPr="000E4452">
              <w:rPr>
                <w:rFonts w:ascii="Poppins" w:hAnsi="Poppins" w:eastAsia="Calibri" w:cs="Poppins"/>
                <w:color w:val="A6A6A6" w:themeColor="background1" w:themeShade="A6"/>
                <w:sz w:val="20"/>
                <w:szCs w:val="20"/>
              </w:rPr>
              <w:t>: Summarise lawful basis, processing, retention and information governance relating to the service in line with your local template requirements</w:t>
            </w:r>
          </w:p>
          <w:p w:rsidRPr="00B00822" w:rsidR="00A66E27" w:rsidP="001B36EE" w:rsidRDefault="004F4111" w14:paraId="2831436D" w14:textId="77777777">
            <w:pPr>
              <w:pStyle w:val="ListParagraph"/>
              <w:numPr>
                <w:ilvl w:val="0"/>
                <w:numId w:val="31"/>
              </w:numPr>
              <w:spacing w:after="60"/>
              <w:ind w:left="357" w:hanging="357"/>
              <w:contextualSpacing w:val="0"/>
              <w:rPr>
                <w:rFonts w:ascii="Poppins" w:hAnsi="Poppins" w:cs="Poppins"/>
              </w:rPr>
            </w:pPr>
            <w:r w:rsidRPr="000E4452">
              <w:rPr>
                <w:rFonts w:ascii="Poppins" w:hAnsi="Poppins" w:eastAsia="Calibri" w:cs="Poppins"/>
                <w:b/>
                <w:bCs/>
                <w:color w:val="A6A6A6" w:themeColor="background1" w:themeShade="A6"/>
                <w:sz w:val="20"/>
                <w:szCs w:val="20"/>
              </w:rPr>
              <w:t>Regulatory and standards</w:t>
            </w:r>
            <w:r w:rsidRPr="000E4452">
              <w:rPr>
                <w:rFonts w:ascii="Poppins" w:hAnsi="Poppins" w:eastAsia="Calibri" w:cs="Poppins"/>
                <w:color w:val="A6A6A6" w:themeColor="background1" w:themeShade="A6"/>
                <w:sz w:val="20"/>
                <w:szCs w:val="20"/>
              </w:rPr>
              <w:t xml:space="preserve">: Describe how your service meets the required standards in line with your local template, e.g., </w:t>
            </w:r>
            <w:r w:rsidRPr="000E4452" w:rsidR="00D34D90">
              <w:rPr>
                <w:rFonts w:ascii="Poppins" w:hAnsi="Poppins" w:eastAsia="Calibri" w:cs="Poppins"/>
                <w:color w:val="A6A6A6" w:themeColor="background1" w:themeShade="A6"/>
                <w:sz w:val="20"/>
                <w:szCs w:val="20"/>
              </w:rPr>
              <w:t>National Institute for Health and Care Excellence (</w:t>
            </w:r>
            <w:r w:rsidRPr="000E4452">
              <w:rPr>
                <w:rFonts w:ascii="Poppins" w:hAnsi="Poppins" w:eastAsia="Calibri" w:cs="Poppins"/>
                <w:color w:val="A6A6A6" w:themeColor="background1" w:themeShade="A6"/>
                <w:sz w:val="20"/>
                <w:szCs w:val="20"/>
              </w:rPr>
              <w:t>NICE</w:t>
            </w:r>
            <w:r w:rsidRPr="000E4452" w:rsidR="00D34D90">
              <w:rPr>
                <w:rFonts w:ascii="Poppins" w:hAnsi="Poppins" w:eastAsia="Calibri" w:cs="Poppins"/>
                <w:color w:val="A6A6A6" w:themeColor="background1" w:themeShade="A6"/>
                <w:sz w:val="20"/>
                <w:szCs w:val="20"/>
              </w:rPr>
              <w:t>)</w:t>
            </w:r>
            <w:r w:rsidRPr="000E4452">
              <w:rPr>
                <w:rFonts w:ascii="Poppins" w:hAnsi="Poppins" w:eastAsia="Calibri" w:cs="Poppins"/>
                <w:color w:val="A6A6A6" w:themeColor="background1" w:themeShade="A6"/>
                <w:sz w:val="20"/>
                <w:szCs w:val="20"/>
              </w:rPr>
              <w:t xml:space="preserve"> guidance, </w:t>
            </w:r>
            <w:r w:rsidRPr="000E4452" w:rsidR="005965B3">
              <w:rPr>
                <w:rFonts w:ascii="Poppins" w:hAnsi="Poppins" w:eastAsia="Calibri" w:cs="Poppins"/>
                <w:color w:val="A6A6A6" w:themeColor="background1" w:themeShade="A6"/>
                <w:sz w:val="20"/>
                <w:szCs w:val="20"/>
              </w:rPr>
              <w:t>Medicines and Healthcare products Regulatory Agency (</w:t>
            </w:r>
            <w:r w:rsidRPr="000E4452">
              <w:rPr>
                <w:rFonts w:ascii="Poppins" w:hAnsi="Poppins" w:eastAsia="Calibri" w:cs="Poppins"/>
                <w:color w:val="A6A6A6" w:themeColor="background1" w:themeShade="A6"/>
                <w:sz w:val="20"/>
                <w:szCs w:val="20"/>
              </w:rPr>
              <w:t>MHRA</w:t>
            </w:r>
            <w:r w:rsidRPr="000E4452" w:rsidR="005965B3">
              <w:rPr>
                <w:rFonts w:ascii="Poppins" w:hAnsi="Poppins" w:eastAsia="Calibri" w:cs="Poppins"/>
                <w:color w:val="A6A6A6" w:themeColor="background1" w:themeShade="A6"/>
                <w:sz w:val="20"/>
                <w:szCs w:val="20"/>
              </w:rPr>
              <w:t>)</w:t>
            </w:r>
            <w:r w:rsidRPr="000E4452">
              <w:rPr>
                <w:rFonts w:ascii="Poppins" w:hAnsi="Poppins" w:eastAsia="Calibri" w:cs="Poppins"/>
                <w:color w:val="A6A6A6" w:themeColor="background1" w:themeShade="A6"/>
                <w:sz w:val="20"/>
                <w:szCs w:val="20"/>
              </w:rPr>
              <w:t xml:space="preserve"> requirements, infusion device safety alerts, duty of </w:t>
            </w:r>
            <w:r w:rsidRPr="000E4452" w:rsidR="000807AF">
              <w:rPr>
                <w:rFonts w:ascii="Poppins" w:hAnsi="Poppins" w:eastAsia="Calibri" w:cs="Poppins"/>
                <w:color w:val="A6A6A6" w:themeColor="background1" w:themeShade="A6"/>
                <w:sz w:val="20"/>
                <w:szCs w:val="20"/>
              </w:rPr>
              <w:t>candor</w:t>
            </w:r>
          </w:p>
          <w:p w:rsidR="00B00822" w:rsidP="001B36EE" w:rsidRDefault="00B00822" w14:paraId="46309E3F" w14:textId="77777777">
            <w:pPr>
              <w:spacing w:after="60"/>
              <w:rPr>
                <w:rFonts w:ascii="Poppins" w:hAnsi="Poppins" w:cs="Poppins"/>
              </w:rPr>
            </w:pPr>
            <w:r w:rsidRPr="00B00822">
              <w:rPr>
                <w:rFonts w:ascii="Poppins" w:hAnsi="Poppins" w:cs="Poppins" w:eastAsiaTheme="majorEastAsia"/>
                <w:b/>
                <w:bCs/>
                <w:color w:val="0023C8"/>
                <w:sz w:val="26"/>
                <w:szCs w:val="26"/>
              </w:rPr>
              <w:t>5.6</w:t>
            </w:r>
            <w:r>
              <w:rPr>
                <w:rFonts w:ascii="Poppins" w:hAnsi="Poppins" w:cs="Poppins"/>
              </w:rPr>
              <w:t xml:space="preserve"> </w:t>
            </w:r>
            <w:r w:rsidRPr="00E026A5">
              <w:rPr>
                <w:rFonts w:ascii="Poppins" w:hAnsi="Poppins" w:cs="Poppins" w:eastAsiaTheme="majorEastAsia"/>
                <w:b/>
                <w:bCs/>
                <w:color w:val="0023C8"/>
                <w:sz w:val="26"/>
                <w:szCs w:val="26"/>
              </w:rPr>
              <w:t>Options Appraisal</w:t>
            </w:r>
          </w:p>
          <w:p w:rsidR="00B00822" w:rsidP="001B36EE" w:rsidRDefault="00E026A5" w14:paraId="74035BE3" w14:textId="77777777">
            <w:pPr>
              <w:spacing w:after="60"/>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&lt;Provide</w:t>
            </w:r>
            <w:r>
              <w:rPr>
                <w:rFonts w:ascii="Poppins" w:hAnsi="Poppins" w:eastAsia="Calibri" w:cs="Poppins"/>
                <w:color w:val="A6A6A6" w:themeColor="background1" w:themeShade="A6"/>
                <w:sz w:val="20"/>
                <w:szCs w:val="20"/>
              </w:rPr>
              <w:t xml:space="preserve"> an analysis of potential options for service delivery, e.g., do nothing, provide a comprehensive service covering all aspects of management and retaining patients long-term or provide a purely infusion delivery service with patients referred in and then transferred back out to local diabetes service care.</w:t>
            </w:r>
          </w:p>
          <w:p w:rsidRPr="007473D7" w:rsidR="007473D7" w:rsidP="001B36EE" w:rsidRDefault="00E026A5" w14:paraId="02295501" w14:textId="3E873444">
            <w:pPr>
              <w:spacing w:after="60"/>
              <w:rPr>
                <w:rFonts w:ascii="Poppins" w:hAnsi="Poppins" w:eastAsia="Calibri" w:cs="Poppins"/>
                <w:color w:val="A6A6A6" w:themeColor="background1" w:themeShade="A6"/>
                <w:sz w:val="20"/>
                <w:szCs w:val="20"/>
              </w:rPr>
            </w:pPr>
            <w:r w:rsidRPr="00E026A5">
              <w:rPr>
                <w:rFonts w:ascii="Poppins" w:hAnsi="Poppins" w:eastAsia="Calibri" w:cs="Poppins"/>
                <w:color w:val="A6A6A6" w:themeColor="background1" w:themeShade="A6"/>
                <w:sz w:val="20"/>
                <w:szCs w:val="20"/>
              </w:rPr>
              <w:t>Consi</w:t>
            </w:r>
            <w:r>
              <w:rPr>
                <w:rFonts w:ascii="Poppins" w:hAnsi="Poppins" w:eastAsia="Calibri" w:cs="Poppins"/>
                <w:color w:val="A6A6A6" w:themeColor="background1" w:themeShade="A6"/>
                <w:sz w:val="20"/>
                <w:szCs w:val="20"/>
              </w:rPr>
              <w:t>der a SWOT analysis of each option – Strengths, Weaknesses, Opportunities and Threats- in relation to your Trust</w:t>
            </w:r>
            <w:r w:rsidR="007473D7">
              <w:rPr>
                <w:rFonts w:ascii="Poppins" w:hAnsi="Poppins" w:eastAsia="Calibri" w:cs="Poppins"/>
                <w:color w:val="A6A6A6" w:themeColor="background1" w:themeShade="A6"/>
                <w:sz w:val="20"/>
                <w:szCs w:val="20"/>
              </w:rPr>
              <w:t xml:space="preserve">. A list of benefits that could apply to all options (ideally 5-8) should be identified. </w:t>
            </w:r>
          </w:p>
          <w:p w:rsidR="007473D7" w:rsidP="001B36EE" w:rsidRDefault="007473D7" w14:paraId="06AEAB08" w14:textId="78314C64">
            <w:pPr>
              <w:spacing w:after="60"/>
              <w:rPr>
                <w:rFonts w:ascii="Poppins" w:hAnsi="Poppins" w:eastAsia="Calibri" w:cs="Poppins"/>
                <w:color w:val="A6A6A6" w:themeColor="background1" w:themeShade="A6"/>
                <w:sz w:val="20"/>
                <w:szCs w:val="20"/>
              </w:rPr>
            </w:pPr>
            <w:r w:rsidRPr="007473D7">
              <w:rPr>
                <w:rFonts w:ascii="Poppins" w:hAnsi="Poppins" w:eastAsia="Calibri" w:cs="Poppins"/>
                <w:color w:val="A6A6A6" w:themeColor="background1" w:themeShade="A6"/>
                <w:sz w:val="20"/>
                <w:szCs w:val="20"/>
              </w:rPr>
              <w:t>Accepting</w:t>
            </w:r>
            <w:r>
              <w:rPr>
                <w:rFonts w:ascii="Poppins" w:hAnsi="Poppins" w:eastAsia="Calibri" w:cs="Poppins"/>
                <w:color w:val="A6A6A6" w:themeColor="background1" w:themeShade="A6"/>
                <w:sz w:val="20"/>
                <w:szCs w:val="20"/>
              </w:rPr>
              <w:t xml:space="preserve"> </w:t>
            </w:r>
            <w:r w:rsidRPr="007473D7">
              <w:rPr>
                <w:rFonts w:ascii="Poppins" w:hAnsi="Poppins" w:eastAsia="Calibri" w:cs="Poppins"/>
                <w:color w:val="A6A6A6" w:themeColor="background1" w:themeShade="A6"/>
                <w:sz w:val="20"/>
                <w:szCs w:val="20"/>
              </w:rPr>
              <w:t>that total benefit will be 100/100 (or 100%), each benefit should be weighted to reflect its overall importance (</w:t>
            </w:r>
            <w:r>
              <w:rPr>
                <w:rFonts w:ascii="Poppins" w:hAnsi="Poppins" w:eastAsia="Calibri" w:cs="Poppins"/>
                <w:color w:val="A6A6A6" w:themeColor="background1" w:themeShade="A6"/>
                <w:sz w:val="20"/>
                <w:szCs w:val="20"/>
              </w:rPr>
              <w:t xml:space="preserve">e.g., </w:t>
            </w:r>
            <w:r w:rsidRPr="007473D7">
              <w:rPr>
                <w:rFonts w:ascii="Poppins" w:hAnsi="Poppins" w:eastAsia="Calibri" w:cs="Poppins"/>
                <w:color w:val="A6A6A6" w:themeColor="background1" w:themeShade="A6"/>
                <w:sz w:val="20"/>
                <w:szCs w:val="20"/>
              </w:rPr>
              <w:t>where there are 5 benefits, one of which is patient choice, you may consider patient choice to comprise</w:t>
            </w:r>
            <w:r>
              <w:rPr>
                <w:rFonts w:ascii="Poppins" w:hAnsi="Poppins" w:eastAsia="Calibri" w:cs="Poppins"/>
                <w:color w:val="A6A6A6" w:themeColor="background1" w:themeShade="A6"/>
                <w:sz w:val="20"/>
                <w:szCs w:val="20"/>
              </w:rPr>
              <w:t xml:space="preserve"> </w:t>
            </w:r>
            <w:r w:rsidRPr="007473D7">
              <w:rPr>
                <w:rFonts w:ascii="Poppins" w:hAnsi="Poppins" w:eastAsia="Calibri" w:cs="Poppins"/>
                <w:color w:val="A6A6A6" w:themeColor="background1" w:themeShade="A6"/>
                <w:sz w:val="20"/>
                <w:szCs w:val="20"/>
              </w:rPr>
              <w:t xml:space="preserve">25% of the entire benefit, in which case it would score 25). </w:t>
            </w:r>
          </w:p>
          <w:p w:rsidRPr="007473D7" w:rsidR="007473D7" w:rsidP="001B36EE" w:rsidRDefault="007473D7" w14:paraId="2EDCE290" w14:textId="77777777">
            <w:pPr>
              <w:spacing w:after="60"/>
              <w:rPr>
                <w:rFonts w:ascii="Poppins" w:hAnsi="Poppins" w:eastAsia="Calibri" w:cs="Poppins"/>
                <w:color w:val="A6A6A6" w:themeColor="background1" w:themeShade="A6"/>
                <w:sz w:val="20"/>
                <w:szCs w:val="20"/>
              </w:rPr>
            </w:pPr>
            <w:r w:rsidRPr="007473D7">
              <w:rPr>
                <w:rFonts w:ascii="Poppins" w:hAnsi="Poppins" w:eastAsia="Calibri" w:cs="Poppins"/>
                <w:color w:val="A6A6A6" w:themeColor="background1" w:themeShade="A6"/>
                <w:sz w:val="20"/>
                <w:szCs w:val="20"/>
              </w:rPr>
              <w:t>Score each of the shortlisted options against the weighted benefit criteria. Scoring should be on a scale of 0-10where:</w:t>
            </w:r>
          </w:p>
          <w:p w:rsidRPr="007473D7" w:rsidR="007473D7" w:rsidP="001B36EE" w:rsidRDefault="007473D7" w14:paraId="0D6146AA" w14:textId="77777777">
            <w:pPr>
              <w:spacing w:after="60"/>
              <w:ind w:left="720"/>
              <w:rPr>
                <w:rFonts w:ascii="Poppins" w:hAnsi="Poppins" w:eastAsia="Calibri" w:cs="Poppins"/>
                <w:color w:val="A6A6A6" w:themeColor="background1" w:themeShade="A6"/>
                <w:sz w:val="20"/>
                <w:szCs w:val="20"/>
              </w:rPr>
            </w:pPr>
            <w:r w:rsidRPr="007473D7">
              <w:rPr>
                <w:rFonts w:ascii="Poppins" w:hAnsi="Poppins" w:eastAsia="Calibri" w:cs="Poppins"/>
                <w:color w:val="A6A6A6" w:themeColor="background1" w:themeShade="A6"/>
                <w:sz w:val="20"/>
                <w:szCs w:val="20"/>
              </w:rPr>
              <w:t>0 = does not meet benefit criteria at all and</w:t>
            </w:r>
          </w:p>
          <w:p w:rsidR="007473D7" w:rsidP="001B36EE" w:rsidRDefault="007473D7" w14:paraId="12D02473" w14:textId="5AAA4534">
            <w:pPr>
              <w:spacing w:after="60"/>
              <w:ind w:left="720"/>
              <w:rPr>
                <w:rFonts w:ascii="Poppins" w:hAnsi="Poppins" w:eastAsia="Calibri" w:cs="Poppins"/>
                <w:color w:val="A6A6A6" w:themeColor="background1" w:themeShade="A6"/>
                <w:sz w:val="20"/>
                <w:szCs w:val="20"/>
              </w:rPr>
            </w:pPr>
            <w:r w:rsidRPr="007473D7">
              <w:rPr>
                <w:rFonts w:ascii="Poppins" w:hAnsi="Poppins" w:eastAsia="Calibri" w:cs="Poppins"/>
                <w:color w:val="A6A6A6" w:themeColor="background1" w:themeShade="A6"/>
                <w:sz w:val="20"/>
                <w:szCs w:val="20"/>
              </w:rPr>
              <w:t>10 = meets the benefit criteria extremely well or could not be bettered</w:t>
            </w:r>
          </w:p>
          <w:p w:rsidR="00E026A5" w:rsidP="001B36EE" w:rsidRDefault="007473D7" w14:paraId="5CF91D81" w14:textId="77777777">
            <w:pPr>
              <w:spacing w:after="60"/>
              <w:rPr>
                <w:rFonts w:ascii="Poppins" w:hAnsi="Poppins" w:eastAsia="Calibri" w:cs="Poppins"/>
                <w:color w:val="A6A6A6" w:themeColor="background1" w:themeShade="A6"/>
                <w:sz w:val="20"/>
                <w:szCs w:val="20"/>
              </w:rPr>
            </w:pPr>
            <w:r w:rsidRPr="007473D7">
              <w:rPr>
                <w:rFonts w:ascii="Poppins" w:hAnsi="Poppins" w:eastAsia="Calibri" w:cs="Poppins"/>
                <w:color w:val="A6A6A6" w:themeColor="background1" w:themeShade="A6"/>
                <w:sz w:val="20"/>
                <w:szCs w:val="20"/>
              </w:rPr>
              <w:t>The weighting factor and benefit score are multiplied to give the weighted score.</w:t>
            </w:r>
            <w:r w:rsidR="00E026A5">
              <w:rPr>
                <w:rFonts w:ascii="Poppins" w:hAnsi="Poppins" w:eastAsia="Calibri" w:cs="Poppins"/>
                <w:color w:val="A6A6A6" w:themeColor="background1" w:themeShade="A6"/>
                <w:sz w:val="20"/>
                <w:szCs w:val="20"/>
              </w:rPr>
              <w:t>&gt;</w:t>
            </w:r>
          </w:p>
          <w:tbl>
            <w:tblPr>
              <w:tblStyle w:val="TableGrid"/>
              <w:tblW w:w="8063" w:type="dxa"/>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1077"/>
              <w:gridCol w:w="1076"/>
              <w:gridCol w:w="952"/>
              <w:gridCol w:w="1018"/>
              <w:gridCol w:w="952"/>
              <w:gridCol w:w="1018"/>
              <w:gridCol w:w="952"/>
              <w:gridCol w:w="1018"/>
            </w:tblGrid>
            <w:tr w:rsidR="005072F7" w:rsidTr="0089621F" w14:paraId="6B6DBADA" w14:textId="0B310524">
              <w:trPr>
                <w:trHeight w:val="680"/>
              </w:trPr>
              <w:tc>
                <w:tcPr>
                  <w:tcW w:w="1077" w:type="dxa"/>
                  <w:shd w:val="clear" w:color="auto" w:fill="F2F2F2" w:themeFill="background1" w:themeFillShade="F2"/>
                  <w:vAlign w:val="center"/>
                </w:tcPr>
                <w:p w:rsidRPr="00973815" w:rsidR="007473D7" w:rsidP="001B36EE" w:rsidRDefault="007473D7" w14:paraId="6D4544ED" w14:textId="77777777">
                  <w:pPr>
                    <w:spacing w:after="60"/>
                    <w:jc w:val="center"/>
                    <w:rPr>
                      <w:rFonts w:ascii="Poppins" w:hAnsi="Poppins" w:cs="Poppins"/>
                      <w:sz w:val="16"/>
                      <w:szCs w:val="16"/>
                    </w:rPr>
                  </w:pPr>
                </w:p>
              </w:tc>
              <w:tc>
                <w:tcPr>
                  <w:tcW w:w="1076" w:type="dxa"/>
                  <w:shd w:val="clear" w:color="auto" w:fill="F2F2F2" w:themeFill="background1" w:themeFillShade="F2"/>
                  <w:vAlign w:val="center"/>
                </w:tcPr>
                <w:p w:rsidRPr="00973815" w:rsidR="007473D7" w:rsidP="001B36EE" w:rsidRDefault="007473D7" w14:paraId="157228DE" w14:textId="77777777">
                  <w:pPr>
                    <w:spacing w:after="60"/>
                    <w:jc w:val="center"/>
                    <w:rPr>
                      <w:rFonts w:ascii="Poppins" w:hAnsi="Poppins" w:cs="Poppins"/>
                      <w:sz w:val="16"/>
                      <w:szCs w:val="16"/>
                    </w:rPr>
                  </w:pPr>
                </w:p>
              </w:tc>
              <w:tc>
                <w:tcPr>
                  <w:tcW w:w="952" w:type="dxa"/>
                  <w:shd w:val="clear" w:color="auto" w:fill="0023C8"/>
                  <w:vAlign w:val="center"/>
                </w:tcPr>
                <w:p w:rsidRPr="005072F7" w:rsidR="007473D7" w:rsidP="001B36EE" w:rsidRDefault="007473D7" w14:paraId="57968E5C" w14:textId="1FE25765">
                  <w:pPr>
                    <w:spacing w:after="60"/>
                    <w:jc w:val="center"/>
                    <w:rPr>
                      <w:rFonts w:ascii="Poppins" w:hAnsi="Poppins" w:cs="Poppins"/>
                      <w:b/>
                      <w:bCs/>
                      <w:sz w:val="16"/>
                      <w:szCs w:val="16"/>
                    </w:rPr>
                  </w:pPr>
                  <w:r w:rsidRPr="005072F7">
                    <w:rPr>
                      <w:rFonts w:ascii="Poppins" w:hAnsi="Poppins" w:cs="Poppins"/>
                      <w:b/>
                      <w:bCs/>
                      <w:sz w:val="16"/>
                      <w:szCs w:val="16"/>
                    </w:rPr>
                    <w:t>Option 1</w:t>
                  </w:r>
                </w:p>
              </w:tc>
              <w:tc>
                <w:tcPr>
                  <w:tcW w:w="1018" w:type="dxa"/>
                  <w:shd w:val="clear" w:color="auto" w:fill="0096FF"/>
                  <w:vAlign w:val="center"/>
                </w:tcPr>
                <w:p w:rsidRPr="0089621F" w:rsidR="007473D7" w:rsidP="001B36EE" w:rsidRDefault="007473D7" w14:paraId="45E044BA" w14:textId="77777777">
                  <w:pPr>
                    <w:spacing w:after="60"/>
                    <w:jc w:val="center"/>
                    <w:rPr>
                      <w:rFonts w:ascii="Poppins" w:hAnsi="Poppins" w:cs="Poppins"/>
                      <w:color w:val="FFFFFF" w:themeColor="background1"/>
                      <w:sz w:val="16"/>
                      <w:szCs w:val="16"/>
                    </w:rPr>
                  </w:pPr>
                </w:p>
              </w:tc>
              <w:tc>
                <w:tcPr>
                  <w:tcW w:w="952" w:type="dxa"/>
                  <w:shd w:val="clear" w:color="auto" w:fill="0023C8"/>
                  <w:vAlign w:val="center"/>
                </w:tcPr>
                <w:p w:rsidRPr="005072F7" w:rsidR="007473D7" w:rsidP="001B36EE" w:rsidRDefault="007473D7" w14:paraId="47B95D3A" w14:textId="4B86187F">
                  <w:pPr>
                    <w:spacing w:after="60"/>
                    <w:jc w:val="center"/>
                    <w:rPr>
                      <w:rFonts w:ascii="Poppins" w:hAnsi="Poppins" w:cs="Poppins"/>
                      <w:b/>
                      <w:bCs/>
                      <w:sz w:val="16"/>
                      <w:szCs w:val="16"/>
                    </w:rPr>
                  </w:pPr>
                  <w:r w:rsidRPr="005072F7">
                    <w:rPr>
                      <w:rFonts w:ascii="Poppins" w:hAnsi="Poppins" w:cs="Poppins"/>
                      <w:b/>
                      <w:bCs/>
                      <w:sz w:val="16"/>
                      <w:szCs w:val="16"/>
                    </w:rPr>
                    <w:t>Option 2</w:t>
                  </w:r>
                </w:p>
              </w:tc>
              <w:tc>
                <w:tcPr>
                  <w:tcW w:w="1018" w:type="dxa"/>
                  <w:shd w:val="clear" w:color="auto" w:fill="0096FF"/>
                  <w:vAlign w:val="center"/>
                </w:tcPr>
                <w:p w:rsidRPr="0089621F" w:rsidR="007473D7" w:rsidP="001B36EE" w:rsidRDefault="007473D7" w14:paraId="2D3A42C1" w14:textId="77777777">
                  <w:pPr>
                    <w:spacing w:after="60"/>
                    <w:jc w:val="center"/>
                    <w:rPr>
                      <w:rFonts w:ascii="Poppins" w:hAnsi="Poppins" w:cs="Poppins"/>
                      <w:color w:val="FFFFFF" w:themeColor="background1"/>
                      <w:sz w:val="16"/>
                      <w:szCs w:val="16"/>
                    </w:rPr>
                  </w:pPr>
                </w:p>
              </w:tc>
              <w:tc>
                <w:tcPr>
                  <w:tcW w:w="952" w:type="dxa"/>
                  <w:shd w:val="clear" w:color="auto" w:fill="0023C8"/>
                  <w:vAlign w:val="center"/>
                </w:tcPr>
                <w:p w:rsidRPr="005072F7" w:rsidR="007473D7" w:rsidP="001B36EE" w:rsidRDefault="007473D7" w14:paraId="2F1FA0EF" w14:textId="72209EF9">
                  <w:pPr>
                    <w:spacing w:after="60"/>
                    <w:jc w:val="center"/>
                    <w:rPr>
                      <w:rFonts w:ascii="Poppins" w:hAnsi="Poppins" w:cs="Poppins"/>
                      <w:b/>
                      <w:bCs/>
                      <w:sz w:val="16"/>
                      <w:szCs w:val="16"/>
                    </w:rPr>
                  </w:pPr>
                  <w:r w:rsidRPr="005072F7">
                    <w:rPr>
                      <w:rFonts w:ascii="Poppins" w:hAnsi="Poppins" w:cs="Poppins"/>
                      <w:b/>
                      <w:bCs/>
                      <w:sz w:val="16"/>
                      <w:szCs w:val="16"/>
                    </w:rPr>
                    <w:t>Option 3</w:t>
                  </w:r>
                </w:p>
              </w:tc>
              <w:tc>
                <w:tcPr>
                  <w:tcW w:w="1018" w:type="dxa"/>
                  <w:shd w:val="clear" w:color="auto" w:fill="0096FF"/>
                  <w:vAlign w:val="center"/>
                </w:tcPr>
                <w:p w:rsidRPr="0089621F" w:rsidR="007473D7" w:rsidP="001B36EE" w:rsidRDefault="007473D7" w14:paraId="729EE9A0" w14:textId="77777777">
                  <w:pPr>
                    <w:spacing w:after="60"/>
                    <w:jc w:val="center"/>
                    <w:rPr>
                      <w:rFonts w:ascii="Poppins" w:hAnsi="Poppins" w:cs="Poppins"/>
                      <w:color w:val="FFFFFF" w:themeColor="background1"/>
                    </w:rPr>
                  </w:pPr>
                </w:p>
              </w:tc>
            </w:tr>
            <w:tr w:rsidR="005072F7" w:rsidTr="0089621F" w14:paraId="663C38FE" w14:textId="55759E21">
              <w:trPr>
                <w:trHeight w:val="680"/>
              </w:trPr>
              <w:tc>
                <w:tcPr>
                  <w:tcW w:w="1077" w:type="dxa"/>
                  <w:shd w:val="clear" w:color="auto" w:fill="F2F2F2" w:themeFill="background1" w:themeFillShade="F2"/>
                  <w:vAlign w:val="center"/>
                </w:tcPr>
                <w:p w:rsidRPr="00973815" w:rsidR="007473D7" w:rsidP="001B36EE" w:rsidRDefault="007473D7" w14:paraId="495BB50A" w14:textId="36C1A6B8">
                  <w:pPr>
                    <w:spacing w:after="60"/>
                    <w:jc w:val="center"/>
                    <w:rPr>
                      <w:rFonts w:ascii="Poppins" w:hAnsi="Poppins" w:cs="Poppins"/>
                      <w:b/>
                      <w:bCs/>
                      <w:sz w:val="16"/>
                      <w:szCs w:val="16"/>
                    </w:rPr>
                  </w:pPr>
                  <w:r w:rsidRPr="00973815">
                    <w:rPr>
                      <w:rFonts w:ascii="Poppins" w:hAnsi="Poppins" w:cs="Poppins"/>
                      <w:b/>
                      <w:bCs/>
                      <w:sz w:val="16"/>
                      <w:szCs w:val="16"/>
                    </w:rPr>
                    <w:t>Benefit</w:t>
                  </w:r>
                </w:p>
              </w:tc>
              <w:tc>
                <w:tcPr>
                  <w:tcW w:w="1076" w:type="dxa"/>
                  <w:shd w:val="clear" w:color="auto" w:fill="F2F2F2" w:themeFill="background1" w:themeFillShade="F2"/>
                  <w:vAlign w:val="center"/>
                </w:tcPr>
                <w:p w:rsidRPr="00973815" w:rsidR="007473D7" w:rsidP="001B36EE" w:rsidRDefault="007473D7" w14:paraId="5E3D2F3A" w14:textId="580A77F7">
                  <w:pPr>
                    <w:spacing w:after="60"/>
                    <w:jc w:val="center"/>
                    <w:rPr>
                      <w:rFonts w:ascii="Poppins" w:hAnsi="Poppins" w:cs="Poppins"/>
                      <w:b/>
                      <w:bCs/>
                      <w:sz w:val="16"/>
                      <w:szCs w:val="16"/>
                    </w:rPr>
                  </w:pPr>
                  <w:r w:rsidRPr="00973815">
                    <w:rPr>
                      <w:rFonts w:ascii="Poppins" w:hAnsi="Poppins" w:cs="Poppins"/>
                      <w:b/>
                      <w:bCs/>
                      <w:sz w:val="16"/>
                      <w:szCs w:val="16"/>
                    </w:rPr>
                    <w:t>Weighting factor</w:t>
                  </w:r>
                </w:p>
              </w:tc>
              <w:tc>
                <w:tcPr>
                  <w:tcW w:w="952" w:type="dxa"/>
                  <w:shd w:val="clear" w:color="auto" w:fill="0023C8"/>
                  <w:vAlign w:val="center"/>
                </w:tcPr>
                <w:p w:rsidRPr="005072F7" w:rsidR="007473D7" w:rsidP="001B36EE" w:rsidRDefault="00973815" w14:paraId="6C49A1CE" w14:textId="78DD5054">
                  <w:pPr>
                    <w:spacing w:after="60"/>
                    <w:jc w:val="center"/>
                    <w:rPr>
                      <w:rFonts w:ascii="Poppins" w:hAnsi="Poppins" w:cs="Poppins"/>
                      <w:b/>
                      <w:bCs/>
                      <w:sz w:val="16"/>
                      <w:szCs w:val="16"/>
                    </w:rPr>
                  </w:pPr>
                  <w:r w:rsidRPr="005072F7">
                    <w:rPr>
                      <w:rFonts w:ascii="Poppins" w:hAnsi="Poppins" w:cs="Poppins"/>
                      <w:b/>
                      <w:bCs/>
                      <w:sz w:val="16"/>
                      <w:szCs w:val="16"/>
                    </w:rPr>
                    <w:t>Score</w:t>
                  </w:r>
                </w:p>
              </w:tc>
              <w:tc>
                <w:tcPr>
                  <w:tcW w:w="1018" w:type="dxa"/>
                  <w:shd w:val="clear" w:color="auto" w:fill="0096FF"/>
                  <w:vAlign w:val="center"/>
                </w:tcPr>
                <w:p w:rsidRPr="0089621F" w:rsidR="007473D7" w:rsidP="001B36EE" w:rsidRDefault="00973815" w14:paraId="5FD13E97" w14:textId="100F98AA">
                  <w:pPr>
                    <w:spacing w:after="60"/>
                    <w:jc w:val="center"/>
                    <w:rPr>
                      <w:rFonts w:ascii="Poppins" w:hAnsi="Poppins" w:cs="Poppins"/>
                      <w:color w:val="FFFFFF" w:themeColor="background1"/>
                      <w:sz w:val="16"/>
                      <w:szCs w:val="16"/>
                    </w:rPr>
                  </w:pPr>
                  <w:r w:rsidRPr="0089621F">
                    <w:rPr>
                      <w:rFonts w:ascii="Poppins" w:hAnsi="Poppins" w:cs="Poppins"/>
                      <w:color w:val="FFFFFF" w:themeColor="background1"/>
                      <w:sz w:val="16"/>
                      <w:szCs w:val="16"/>
                    </w:rPr>
                    <w:t>Weighted score</w:t>
                  </w:r>
                </w:p>
              </w:tc>
              <w:tc>
                <w:tcPr>
                  <w:tcW w:w="952" w:type="dxa"/>
                  <w:shd w:val="clear" w:color="auto" w:fill="0023C8"/>
                  <w:vAlign w:val="center"/>
                </w:tcPr>
                <w:p w:rsidRPr="005072F7" w:rsidR="007473D7" w:rsidP="001B36EE" w:rsidRDefault="00973815" w14:paraId="795B1047" w14:textId="6138CFA5">
                  <w:pPr>
                    <w:spacing w:after="60"/>
                    <w:jc w:val="center"/>
                    <w:rPr>
                      <w:rFonts w:ascii="Poppins" w:hAnsi="Poppins" w:cs="Poppins"/>
                      <w:b/>
                      <w:bCs/>
                      <w:sz w:val="16"/>
                      <w:szCs w:val="16"/>
                    </w:rPr>
                  </w:pPr>
                  <w:r w:rsidRPr="005072F7">
                    <w:rPr>
                      <w:rFonts w:ascii="Poppins" w:hAnsi="Poppins" w:cs="Poppins"/>
                      <w:b/>
                      <w:bCs/>
                      <w:sz w:val="16"/>
                      <w:szCs w:val="16"/>
                    </w:rPr>
                    <w:t>Score</w:t>
                  </w:r>
                </w:p>
              </w:tc>
              <w:tc>
                <w:tcPr>
                  <w:tcW w:w="1018" w:type="dxa"/>
                  <w:shd w:val="clear" w:color="auto" w:fill="0096FF"/>
                  <w:vAlign w:val="center"/>
                </w:tcPr>
                <w:p w:rsidRPr="0089621F" w:rsidR="007473D7" w:rsidP="001B36EE" w:rsidRDefault="00973815" w14:paraId="358C6370" w14:textId="7449645B">
                  <w:pPr>
                    <w:spacing w:after="60"/>
                    <w:jc w:val="center"/>
                    <w:rPr>
                      <w:rFonts w:ascii="Poppins" w:hAnsi="Poppins" w:cs="Poppins"/>
                      <w:color w:val="FFFFFF" w:themeColor="background1"/>
                      <w:sz w:val="16"/>
                      <w:szCs w:val="16"/>
                    </w:rPr>
                  </w:pPr>
                  <w:r w:rsidRPr="0089621F">
                    <w:rPr>
                      <w:rFonts w:ascii="Poppins" w:hAnsi="Poppins" w:cs="Poppins"/>
                      <w:color w:val="FFFFFF" w:themeColor="background1"/>
                      <w:sz w:val="16"/>
                      <w:szCs w:val="16"/>
                    </w:rPr>
                    <w:t>Weighted score</w:t>
                  </w:r>
                </w:p>
              </w:tc>
              <w:tc>
                <w:tcPr>
                  <w:tcW w:w="952" w:type="dxa"/>
                  <w:shd w:val="clear" w:color="auto" w:fill="0023C8"/>
                  <w:vAlign w:val="center"/>
                </w:tcPr>
                <w:p w:rsidRPr="005072F7" w:rsidR="007473D7" w:rsidP="001B36EE" w:rsidRDefault="00973815" w14:paraId="65CF8C0A" w14:textId="53179F35">
                  <w:pPr>
                    <w:spacing w:after="60"/>
                    <w:jc w:val="center"/>
                    <w:rPr>
                      <w:rFonts w:ascii="Poppins" w:hAnsi="Poppins" w:cs="Poppins"/>
                      <w:b/>
                      <w:bCs/>
                      <w:sz w:val="16"/>
                      <w:szCs w:val="16"/>
                    </w:rPr>
                  </w:pPr>
                  <w:r w:rsidRPr="005072F7">
                    <w:rPr>
                      <w:rFonts w:ascii="Poppins" w:hAnsi="Poppins" w:cs="Poppins"/>
                      <w:b/>
                      <w:bCs/>
                      <w:sz w:val="16"/>
                      <w:szCs w:val="16"/>
                    </w:rPr>
                    <w:t>Score</w:t>
                  </w:r>
                </w:p>
              </w:tc>
              <w:tc>
                <w:tcPr>
                  <w:tcW w:w="1018" w:type="dxa"/>
                  <w:shd w:val="clear" w:color="auto" w:fill="0096FF"/>
                  <w:vAlign w:val="center"/>
                </w:tcPr>
                <w:p w:rsidRPr="0089621F" w:rsidR="007473D7" w:rsidP="001B36EE" w:rsidRDefault="00973815" w14:paraId="1C402D56" w14:textId="2B64F905">
                  <w:pPr>
                    <w:spacing w:after="60"/>
                    <w:jc w:val="center"/>
                    <w:rPr>
                      <w:rFonts w:ascii="Poppins" w:hAnsi="Poppins" w:cs="Poppins"/>
                      <w:color w:val="FFFFFF" w:themeColor="background1"/>
                      <w:sz w:val="16"/>
                      <w:szCs w:val="16"/>
                    </w:rPr>
                  </w:pPr>
                  <w:r w:rsidRPr="0089621F">
                    <w:rPr>
                      <w:rFonts w:ascii="Poppins" w:hAnsi="Poppins" w:cs="Poppins"/>
                      <w:color w:val="FFFFFF" w:themeColor="background1"/>
                      <w:sz w:val="16"/>
                      <w:szCs w:val="16"/>
                    </w:rPr>
                    <w:t>Weighted Score</w:t>
                  </w:r>
                </w:p>
              </w:tc>
            </w:tr>
          </w:tbl>
          <w:p w:rsidR="007473D7" w:rsidP="001B36EE" w:rsidRDefault="007473D7" w14:paraId="48ACF3C6" w14:textId="77777777">
            <w:pPr>
              <w:spacing w:after="60"/>
              <w:rPr>
                <w:rFonts w:ascii="Poppins" w:hAnsi="Poppins" w:cs="Poppins"/>
              </w:rPr>
            </w:pPr>
          </w:p>
          <w:p w:rsidRPr="00B00822" w:rsidR="007473D7" w:rsidP="001B36EE" w:rsidRDefault="00973815" w14:paraId="37AD0344" w14:textId="7518383C">
            <w:pPr>
              <w:spacing w:after="60"/>
              <w:rPr>
                <w:rFonts w:ascii="Poppins" w:hAnsi="Poppins" w:cs="Poppins"/>
              </w:rPr>
            </w:pPr>
            <w:r>
              <w:rPr>
                <w:rFonts w:ascii="Poppins" w:hAnsi="Poppins" w:eastAsia="Calibri" w:cs="Poppins"/>
                <w:color w:val="A6A6A6" w:themeColor="background1" w:themeShade="A6"/>
                <w:sz w:val="20"/>
                <w:szCs w:val="20"/>
              </w:rPr>
              <w:t>&lt;State your recommended option to take forward b</w:t>
            </w:r>
            <w:r w:rsidRPr="00973815" w:rsidR="007473D7">
              <w:rPr>
                <w:rFonts w:ascii="Poppins" w:hAnsi="Poppins" w:eastAsia="Calibri" w:cs="Poppins"/>
                <w:color w:val="A6A6A6" w:themeColor="background1" w:themeShade="A6"/>
                <w:sz w:val="20"/>
                <w:szCs w:val="20"/>
              </w:rPr>
              <w:t>ased on</w:t>
            </w:r>
            <w:r>
              <w:rPr>
                <w:rFonts w:ascii="Poppins" w:hAnsi="Poppins" w:eastAsia="Calibri" w:cs="Poppins"/>
                <w:color w:val="A6A6A6" w:themeColor="background1" w:themeShade="A6"/>
                <w:sz w:val="20"/>
                <w:szCs w:val="20"/>
              </w:rPr>
              <w:t xml:space="preserve"> scoring&gt; </w:t>
            </w:r>
            <w:r w:rsidR="007473D7">
              <w:rPr>
                <w:rFonts w:ascii="Poppins" w:hAnsi="Poppins" w:cs="Poppins"/>
              </w:rPr>
              <w:t xml:space="preserve"> </w:t>
            </w:r>
          </w:p>
        </w:tc>
      </w:tr>
    </w:tbl>
    <w:p w:rsidR="000E4452" w:rsidP="001B36EE" w:rsidRDefault="000E4452" w14:paraId="17F691A4" w14:textId="77777777">
      <w:pPr>
        <w:pStyle w:val="Heading1"/>
        <w:spacing w:line="240" w:lineRule="auto"/>
        <w:rPr>
          <w:rFonts w:ascii="Poppins" w:hAnsi="Poppins" w:cs="Poppins"/>
          <w:color w:val="0023C8"/>
        </w:rPr>
      </w:pPr>
    </w:p>
    <w:p w:rsidR="000E4452" w:rsidP="001B36EE" w:rsidRDefault="000E4452" w14:paraId="0B049507" w14:textId="77777777">
      <w:pPr>
        <w:spacing w:line="240" w:lineRule="auto"/>
        <w:rPr>
          <w:rFonts w:ascii="Poppins" w:hAnsi="Poppins" w:cs="Poppins" w:eastAsiaTheme="majorEastAsia"/>
          <w:b/>
          <w:bCs/>
          <w:color w:val="0023C8"/>
          <w:sz w:val="28"/>
          <w:szCs w:val="28"/>
        </w:rPr>
      </w:pPr>
      <w:r>
        <w:rPr>
          <w:rFonts w:ascii="Poppins" w:hAnsi="Poppins" w:cs="Poppins"/>
          <w:color w:val="0023C8"/>
        </w:rPr>
        <w:br w:type="page"/>
      </w:r>
    </w:p>
    <w:p w:rsidRPr="00182749" w:rsidR="00183369" w:rsidP="001B36EE" w:rsidRDefault="00DE27A1" w14:paraId="59F6A272" w14:textId="693E02F6">
      <w:pPr>
        <w:pStyle w:val="Heading1"/>
        <w:spacing w:line="240" w:lineRule="auto"/>
        <w:rPr>
          <w:rFonts w:ascii="Poppins" w:hAnsi="Poppins" w:cs="Poppins"/>
          <w:color w:val="0023C8"/>
        </w:rPr>
      </w:pPr>
      <w:bookmarkStart w:name="_Toc229391550" w:id="35"/>
      <w:r w:rsidRPr="00182749">
        <w:rPr>
          <w:rFonts w:ascii="Poppins" w:hAnsi="Poppins" w:cs="Poppins"/>
          <w:color w:val="0023C8"/>
        </w:rPr>
        <w:t>Checklist for business plan development</w:t>
      </w:r>
      <w:bookmarkEnd w:id="35"/>
    </w:p>
    <w:p w:rsidRPr="000E4452" w:rsidR="004F4111" w:rsidP="001B36EE" w:rsidRDefault="00DE27A1" w14:paraId="48F64E17" w14:textId="28F4DBFD">
      <w:pPr>
        <w:spacing w:line="240" w:lineRule="auto"/>
        <w:rPr>
          <w:rFonts w:ascii="Poppins" w:hAnsi="Poppins" w:eastAsia="Calibri" w:cs="Poppins"/>
          <w:color w:val="A6A6A6" w:themeColor="background1" w:themeShade="A6"/>
          <w:sz w:val="20"/>
          <w:szCs w:val="20"/>
        </w:rPr>
      </w:pPr>
      <w:r w:rsidRPr="000E4452">
        <w:rPr>
          <w:rFonts w:ascii="Poppins" w:hAnsi="Poppins" w:eastAsia="Calibri" w:cs="Poppins"/>
          <w:color w:val="A6A6A6" w:themeColor="background1" w:themeShade="A6"/>
          <w:sz w:val="20"/>
          <w:szCs w:val="20"/>
        </w:rPr>
        <w:t xml:space="preserve">&lt;The following </w:t>
      </w:r>
      <w:r w:rsidRPr="000E4452" w:rsidR="00F00236">
        <w:rPr>
          <w:rFonts w:ascii="Poppins" w:hAnsi="Poppins" w:eastAsia="Calibri" w:cs="Poppins"/>
          <w:color w:val="A6A6A6" w:themeColor="background1" w:themeShade="A6"/>
          <w:sz w:val="20"/>
          <w:szCs w:val="20"/>
        </w:rPr>
        <w:t>checklist</w:t>
      </w:r>
      <w:r w:rsidRPr="000E4452">
        <w:rPr>
          <w:rFonts w:ascii="Poppins" w:hAnsi="Poppins" w:eastAsia="Calibri" w:cs="Poppins"/>
          <w:color w:val="A6A6A6" w:themeColor="background1" w:themeShade="A6"/>
          <w:sz w:val="20"/>
          <w:szCs w:val="20"/>
        </w:rPr>
        <w:t xml:space="preserve"> </w:t>
      </w:r>
      <w:r w:rsidRPr="000E4452" w:rsidR="00F00236">
        <w:rPr>
          <w:rFonts w:ascii="Poppins" w:hAnsi="Poppins" w:eastAsia="Calibri" w:cs="Poppins"/>
          <w:color w:val="A6A6A6" w:themeColor="background1" w:themeShade="A6"/>
          <w:sz w:val="20"/>
          <w:szCs w:val="20"/>
        </w:rPr>
        <w:t xml:space="preserve">can be used to confirm if your business plan submission contains the information needed by commissioners </w:t>
      </w:r>
      <w:r w:rsidRPr="000E4452" w:rsidR="00AB5011">
        <w:rPr>
          <w:rFonts w:ascii="Poppins" w:hAnsi="Poppins" w:eastAsia="Calibri" w:cs="Poppins"/>
          <w:color w:val="A6A6A6" w:themeColor="background1" w:themeShade="A6"/>
          <w:sz w:val="20"/>
          <w:szCs w:val="20"/>
        </w:rPr>
        <w:t>to fund</w:t>
      </w:r>
      <w:r w:rsidRPr="000E4452" w:rsidR="00F00236">
        <w:rPr>
          <w:rFonts w:ascii="Poppins" w:hAnsi="Poppins" w:eastAsia="Calibri" w:cs="Poppins"/>
          <w:color w:val="A6A6A6" w:themeColor="background1" w:themeShade="A6"/>
          <w:sz w:val="20"/>
          <w:szCs w:val="20"/>
        </w:rPr>
        <w:t xml:space="preserve"> the service. It should be used in conjunction with the requirements of your local business case template.</w:t>
      </w:r>
      <w:r w:rsidR="00755A81">
        <w:rPr>
          <w:rFonts w:ascii="Poppins" w:hAnsi="Poppins" w:eastAsia="Calibri" w:cs="Poppins"/>
          <w:color w:val="A6A6A6" w:themeColor="background1" w:themeShade="A6"/>
          <w:sz w:val="20"/>
          <w:szCs w:val="20"/>
        </w:rPr>
        <w:t>&gt;</w:t>
      </w:r>
    </w:p>
    <w:tbl>
      <w:tblPr>
        <w:tblStyle w:val="TableGrid"/>
        <w:tblW w:w="0" w:type="auto"/>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7650"/>
        <w:gridCol w:w="850"/>
      </w:tblGrid>
      <w:tr w:rsidRPr="00C43185" w:rsidR="009C4AF2" w:rsidTr="00FD5127" w14:paraId="4A561D91" w14:textId="77777777">
        <w:trPr>
          <w:trHeight w:val="680"/>
        </w:trPr>
        <w:tc>
          <w:tcPr>
            <w:tcW w:w="7650" w:type="dxa"/>
            <w:vAlign w:val="center"/>
          </w:tcPr>
          <w:p w:rsidRPr="00C43185" w:rsidR="009C4AF2" w:rsidP="001B36EE" w:rsidRDefault="009C4AF2" w14:paraId="1D528539" w14:textId="24F8EA2C">
            <w:pPr>
              <w:rPr>
                <w:rFonts w:ascii="Poppins" w:hAnsi="Poppins" w:eastAsia="Calibri" w:cs="Poppins"/>
                <w:b/>
                <w:bCs/>
                <w:color w:val="A6A6A6" w:themeColor="background1" w:themeShade="A6"/>
              </w:rPr>
            </w:pPr>
            <w:r w:rsidRPr="00C43185">
              <w:rPr>
                <w:rFonts w:ascii="Poppins" w:hAnsi="Poppins" w:eastAsia="Calibri" w:cs="Poppins"/>
                <w:b/>
                <w:bCs/>
                <w:color w:val="A6A6A6" w:themeColor="background1" w:themeShade="A6"/>
              </w:rPr>
              <w:t>Considerations</w:t>
            </w:r>
          </w:p>
        </w:tc>
        <w:tc>
          <w:tcPr>
            <w:tcW w:w="850" w:type="dxa"/>
            <w:vAlign w:val="center"/>
          </w:tcPr>
          <w:p w:rsidRPr="00C43185" w:rsidR="009C4AF2" w:rsidP="001B36EE" w:rsidRDefault="009C4AF2" w14:paraId="01CDAC42" w14:textId="6EC54088">
            <w:pPr>
              <w:jc w:val="center"/>
              <w:rPr>
                <w:rFonts w:ascii="Poppins" w:hAnsi="Poppins" w:eastAsia="Calibri" w:cs="Poppins"/>
                <w:color w:val="A6A6A6" w:themeColor="background1" w:themeShade="A6"/>
              </w:rPr>
            </w:pPr>
            <w:r w:rsidRPr="00C43185">
              <w:rPr>
                <w:rFonts w:ascii="Poppins" w:hAnsi="Poppins" w:eastAsia="Calibri" w:cs="Poppins"/>
                <w:noProof/>
                <w:color w:val="A6A6A6" w:themeColor="background1" w:themeShade="A6"/>
              </w:rPr>
              <w:drawing>
                <wp:inline distT="0" distB="0" distL="0" distR="0" wp14:anchorId="2CD88EAA" wp14:editId="0FE8125E">
                  <wp:extent cx="170822" cy="170822"/>
                  <wp:effectExtent l="0" t="0" r="635" b="635"/>
                  <wp:docPr id="384883236" name="Graphic 1"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883236" name="Graphic 384883236" descr="Checkmark with solid fill"/>
                          <pic:cNvPicPr/>
                        </pic:nvPicPr>
                        <pic:blipFill>
                          <a:blip r:embed="rId16">
                            <a:extLst>
                              <a:ext uri="{96DAC541-7B7A-43D3-8B79-37D633B846F1}">
                                <asvg:svgBlip xmlns:asvg="http://schemas.microsoft.com/office/drawing/2016/SVG/main" r:embed="rId17"/>
                              </a:ext>
                            </a:extLst>
                          </a:blip>
                          <a:stretch>
                            <a:fillRect/>
                          </a:stretch>
                        </pic:blipFill>
                        <pic:spPr>
                          <a:xfrm>
                            <a:off x="0" y="0"/>
                            <a:ext cx="174267" cy="174267"/>
                          </a:xfrm>
                          <a:prstGeom prst="rect">
                            <a:avLst/>
                          </a:prstGeom>
                        </pic:spPr>
                      </pic:pic>
                    </a:graphicData>
                  </a:graphic>
                </wp:inline>
              </w:drawing>
            </w:r>
          </w:p>
        </w:tc>
      </w:tr>
      <w:tr w:rsidRPr="00C43185" w:rsidR="009C4AF2" w:rsidTr="00F4711F" w14:paraId="425B0089" w14:textId="77777777">
        <w:trPr>
          <w:trHeight w:val="567"/>
        </w:trPr>
        <w:tc>
          <w:tcPr>
            <w:tcW w:w="8500" w:type="dxa"/>
            <w:gridSpan w:val="2"/>
            <w:shd w:val="clear" w:color="auto" w:fill="0096FF"/>
            <w:vAlign w:val="center"/>
          </w:tcPr>
          <w:p w:rsidRPr="00FD5127" w:rsidR="009C4AF2" w:rsidP="001B36EE" w:rsidRDefault="009C4AF2" w14:paraId="2E746532" w14:textId="7C3C7086">
            <w:pPr>
              <w:rPr>
                <w:rFonts w:ascii="Poppins" w:hAnsi="Poppins" w:eastAsia="Calibri" w:cs="Poppins"/>
                <w:color w:val="FFFFFF" w:themeColor="background1"/>
              </w:rPr>
            </w:pPr>
            <w:r w:rsidRPr="00FD5127">
              <w:rPr>
                <w:rFonts w:ascii="Poppins" w:hAnsi="Poppins" w:eastAsia="Calibri" w:cs="Poppins"/>
                <w:b/>
                <w:bCs/>
                <w:color w:val="FFFFFF" w:themeColor="background1"/>
              </w:rPr>
              <w:t xml:space="preserve">Details of the service </w:t>
            </w:r>
          </w:p>
        </w:tc>
      </w:tr>
      <w:tr w:rsidRPr="00C43185" w:rsidR="0042081F" w:rsidTr="00FD5127" w14:paraId="48F95C68" w14:textId="77777777">
        <w:trPr>
          <w:trHeight w:val="804"/>
        </w:trPr>
        <w:tc>
          <w:tcPr>
            <w:tcW w:w="7650" w:type="dxa"/>
            <w:shd w:val="clear" w:color="auto" w:fill="F2F2F2" w:themeFill="background1" w:themeFillShade="F2"/>
            <w:vAlign w:val="center"/>
          </w:tcPr>
          <w:p w:rsidRPr="00931E2C" w:rsidR="0042081F" w:rsidP="001B36EE" w:rsidRDefault="0042081F" w14:paraId="57F95CCE" w14:textId="1BE5C19D">
            <w:pPr>
              <w:rPr>
                <w:rFonts w:ascii="Poppins" w:hAnsi="Poppins" w:eastAsia="Calibri" w:cs="Poppins"/>
                <w:color w:val="A6A6A6" w:themeColor="background1" w:themeShade="A6"/>
                <w:sz w:val="20"/>
                <w:szCs w:val="20"/>
              </w:rPr>
            </w:pPr>
            <w:r>
              <w:rPr>
                <w:rFonts w:ascii="Poppins" w:hAnsi="Poppins" w:eastAsia="Calibri" w:cs="Poppins"/>
                <w:color w:val="A6A6A6" w:themeColor="background1" w:themeShade="A6"/>
                <w:sz w:val="20"/>
                <w:szCs w:val="20"/>
              </w:rPr>
              <w:t>Will the service see p</w:t>
            </w:r>
            <w:r w:rsidR="00481952">
              <w:rPr>
                <w:rFonts w:ascii="Poppins" w:hAnsi="Poppins" w:eastAsia="Calibri" w:cs="Poppins"/>
                <w:color w:val="A6A6A6" w:themeColor="background1" w:themeShade="A6"/>
                <w:sz w:val="20"/>
                <w:szCs w:val="20"/>
              </w:rPr>
              <w:t>eople</w:t>
            </w:r>
            <w:r>
              <w:rPr>
                <w:rFonts w:ascii="Poppins" w:hAnsi="Poppins" w:eastAsia="Calibri" w:cs="Poppins"/>
                <w:color w:val="A6A6A6" w:themeColor="background1" w:themeShade="A6"/>
                <w:sz w:val="20"/>
                <w:szCs w:val="20"/>
              </w:rPr>
              <w:t xml:space="preserve"> from across the region a</w:t>
            </w:r>
            <w:r w:rsidR="001376B9">
              <w:rPr>
                <w:rFonts w:ascii="Poppins" w:hAnsi="Poppins" w:eastAsia="Calibri" w:cs="Poppins"/>
                <w:color w:val="A6A6A6" w:themeColor="background1" w:themeShade="A6"/>
                <w:sz w:val="20"/>
                <w:szCs w:val="20"/>
              </w:rPr>
              <w:t>t</w:t>
            </w:r>
            <w:r>
              <w:rPr>
                <w:rFonts w:ascii="Poppins" w:hAnsi="Poppins" w:eastAsia="Calibri" w:cs="Poppins"/>
                <w:color w:val="A6A6A6" w:themeColor="background1" w:themeShade="A6"/>
                <w:sz w:val="20"/>
                <w:szCs w:val="20"/>
              </w:rPr>
              <w:t xml:space="preserve"> a centralised hub or locally?</w:t>
            </w:r>
          </w:p>
        </w:tc>
        <w:tc>
          <w:tcPr>
            <w:tcW w:w="850" w:type="dxa"/>
            <w:shd w:val="clear" w:color="auto" w:fill="F2F2F2" w:themeFill="background1" w:themeFillShade="F2"/>
          </w:tcPr>
          <w:p w:rsidRPr="00C43185" w:rsidR="0042081F" w:rsidP="001B36EE" w:rsidRDefault="0042081F" w14:paraId="146A317E" w14:textId="77777777">
            <w:pPr>
              <w:rPr>
                <w:rFonts w:ascii="Poppins" w:hAnsi="Poppins" w:eastAsia="Calibri" w:cs="Poppins"/>
                <w:color w:val="A6A6A6" w:themeColor="background1" w:themeShade="A6"/>
              </w:rPr>
            </w:pPr>
          </w:p>
        </w:tc>
      </w:tr>
      <w:tr w:rsidRPr="00C43185" w:rsidR="009C4AF2" w:rsidTr="00FD5127" w14:paraId="4420C9B5" w14:textId="77777777">
        <w:trPr>
          <w:trHeight w:val="510"/>
        </w:trPr>
        <w:tc>
          <w:tcPr>
            <w:tcW w:w="7650" w:type="dxa"/>
            <w:shd w:val="clear" w:color="auto" w:fill="F2F2F2" w:themeFill="background1" w:themeFillShade="F2"/>
            <w:vAlign w:val="center"/>
          </w:tcPr>
          <w:p w:rsidRPr="00931E2C" w:rsidR="009C4AF2" w:rsidP="001B36EE" w:rsidRDefault="009C4AF2" w14:paraId="38306BA6" w14:textId="35B5BD04">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outlined the aims and goals of your proposed service?</w:t>
            </w:r>
            <w:r w:rsidRPr="00931E2C" w:rsidR="00196116">
              <w:rPr>
                <w:rFonts w:ascii="Poppins" w:hAnsi="Poppins" w:eastAsia="Calibri" w:cs="Poppins"/>
                <w:color w:val="A6A6A6" w:themeColor="background1" w:themeShade="A6"/>
                <w:sz w:val="20"/>
                <w:szCs w:val="20"/>
              </w:rPr>
              <w:t xml:space="preserve"> </w:t>
            </w:r>
          </w:p>
        </w:tc>
        <w:tc>
          <w:tcPr>
            <w:tcW w:w="850" w:type="dxa"/>
            <w:shd w:val="clear" w:color="auto" w:fill="F2F2F2" w:themeFill="background1" w:themeFillShade="F2"/>
          </w:tcPr>
          <w:p w:rsidRPr="00C43185" w:rsidR="009C4AF2" w:rsidP="001B36EE" w:rsidRDefault="009C4AF2" w14:paraId="349E9E04" w14:textId="77777777">
            <w:pPr>
              <w:rPr>
                <w:rFonts w:ascii="Poppins" w:hAnsi="Poppins" w:eastAsia="Calibri" w:cs="Poppins"/>
                <w:color w:val="A6A6A6" w:themeColor="background1" w:themeShade="A6"/>
              </w:rPr>
            </w:pPr>
          </w:p>
        </w:tc>
      </w:tr>
      <w:tr w:rsidRPr="00C43185" w:rsidR="009C4AF2" w:rsidTr="00FD5127" w14:paraId="4363E7E4" w14:textId="77777777">
        <w:trPr>
          <w:trHeight w:val="850"/>
        </w:trPr>
        <w:tc>
          <w:tcPr>
            <w:tcW w:w="7650" w:type="dxa"/>
            <w:shd w:val="clear" w:color="auto" w:fill="F2F2F2" w:themeFill="background1" w:themeFillShade="F2"/>
            <w:vAlign w:val="center"/>
          </w:tcPr>
          <w:p w:rsidRPr="00931E2C" w:rsidR="009C4AF2" w:rsidP="001B36EE" w:rsidRDefault="009C4AF2" w14:paraId="38E6FED2" w14:textId="18211181">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included a description of the current problem and proposed solution that the service will provide?</w:t>
            </w:r>
          </w:p>
        </w:tc>
        <w:tc>
          <w:tcPr>
            <w:tcW w:w="850" w:type="dxa"/>
            <w:shd w:val="clear" w:color="auto" w:fill="F2F2F2" w:themeFill="background1" w:themeFillShade="F2"/>
          </w:tcPr>
          <w:p w:rsidRPr="00C43185" w:rsidR="009C4AF2" w:rsidP="001B36EE" w:rsidRDefault="009C4AF2" w14:paraId="10CA7E81" w14:textId="77777777">
            <w:pPr>
              <w:rPr>
                <w:rFonts w:ascii="Poppins" w:hAnsi="Poppins" w:eastAsia="Calibri" w:cs="Poppins"/>
                <w:color w:val="A6A6A6" w:themeColor="background1" w:themeShade="A6"/>
              </w:rPr>
            </w:pPr>
          </w:p>
        </w:tc>
      </w:tr>
      <w:tr w:rsidRPr="00C43185" w:rsidR="009C4AF2" w:rsidTr="00FD5127" w14:paraId="2AB01072" w14:textId="77777777">
        <w:trPr>
          <w:trHeight w:val="510"/>
        </w:trPr>
        <w:tc>
          <w:tcPr>
            <w:tcW w:w="7650" w:type="dxa"/>
            <w:shd w:val="clear" w:color="auto" w:fill="F2F2F2" w:themeFill="background1" w:themeFillShade="F2"/>
            <w:vAlign w:val="center"/>
          </w:tcPr>
          <w:p w:rsidRPr="00931E2C" w:rsidR="009C4AF2" w:rsidP="001B36EE" w:rsidRDefault="009C4AF2" w14:paraId="6AC3E52D" w14:textId="47A94D8A">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described the setting where the service will be delivered?</w:t>
            </w:r>
          </w:p>
        </w:tc>
        <w:tc>
          <w:tcPr>
            <w:tcW w:w="850" w:type="dxa"/>
            <w:shd w:val="clear" w:color="auto" w:fill="F2F2F2" w:themeFill="background1" w:themeFillShade="F2"/>
          </w:tcPr>
          <w:p w:rsidRPr="00C43185" w:rsidR="009C4AF2" w:rsidP="001B36EE" w:rsidRDefault="009C4AF2" w14:paraId="783BD6E5" w14:textId="77777777">
            <w:pPr>
              <w:rPr>
                <w:rFonts w:ascii="Poppins" w:hAnsi="Poppins" w:eastAsia="Calibri" w:cs="Poppins"/>
                <w:color w:val="A6A6A6" w:themeColor="background1" w:themeShade="A6"/>
              </w:rPr>
            </w:pPr>
          </w:p>
        </w:tc>
      </w:tr>
      <w:tr w:rsidRPr="00C43185" w:rsidR="009C4AF2" w:rsidTr="00FD5127" w14:paraId="40563D4D" w14:textId="77777777">
        <w:trPr>
          <w:trHeight w:val="1212"/>
        </w:trPr>
        <w:tc>
          <w:tcPr>
            <w:tcW w:w="7650" w:type="dxa"/>
            <w:shd w:val="clear" w:color="auto" w:fill="F2F2F2" w:themeFill="background1" w:themeFillShade="F2"/>
            <w:vAlign w:val="center"/>
          </w:tcPr>
          <w:p w:rsidRPr="00931E2C" w:rsidR="009C4AF2" w:rsidP="001B36EE" w:rsidRDefault="009C4AF2" w14:paraId="3F73A5A1" w14:textId="45109281">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explained the expected benefits or outcomes plus outline assumptions made about any cost savings from the introduction of the service?</w:t>
            </w:r>
          </w:p>
        </w:tc>
        <w:tc>
          <w:tcPr>
            <w:tcW w:w="850" w:type="dxa"/>
            <w:shd w:val="clear" w:color="auto" w:fill="F2F2F2" w:themeFill="background1" w:themeFillShade="F2"/>
          </w:tcPr>
          <w:p w:rsidRPr="00C43185" w:rsidR="009C4AF2" w:rsidP="001B36EE" w:rsidRDefault="009C4AF2" w14:paraId="52A5DE84" w14:textId="77777777">
            <w:pPr>
              <w:rPr>
                <w:rFonts w:ascii="Poppins" w:hAnsi="Poppins" w:eastAsia="Calibri" w:cs="Poppins"/>
                <w:color w:val="A6A6A6" w:themeColor="background1" w:themeShade="A6"/>
              </w:rPr>
            </w:pPr>
          </w:p>
        </w:tc>
      </w:tr>
      <w:tr w:rsidRPr="00C43185" w:rsidR="00196116" w:rsidTr="00F4711F" w14:paraId="2786223B" w14:textId="77777777">
        <w:trPr>
          <w:trHeight w:val="567"/>
        </w:trPr>
        <w:tc>
          <w:tcPr>
            <w:tcW w:w="8500" w:type="dxa"/>
            <w:gridSpan w:val="2"/>
            <w:shd w:val="clear" w:color="auto" w:fill="0096FF"/>
            <w:vAlign w:val="center"/>
          </w:tcPr>
          <w:p w:rsidRPr="00FD5127" w:rsidR="00196116" w:rsidP="001B36EE" w:rsidRDefault="00196116" w14:paraId="25B18D4A" w14:textId="27D143DE">
            <w:pPr>
              <w:rPr>
                <w:rFonts w:ascii="Poppins" w:hAnsi="Poppins" w:eastAsia="Calibri" w:cs="Poppins"/>
                <w:color w:val="FFFFFF" w:themeColor="background1"/>
              </w:rPr>
            </w:pPr>
            <w:r w:rsidRPr="00FD5127">
              <w:rPr>
                <w:rFonts w:ascii="Poppins" w:hAnsi="Poppins" w:eastAsia="Calibri" w:cs="Poppins"/>
                <w:b/>
                <w:bCs/>
                <w:color w:val="FFFFFF" w:themeColor="background1"/>
              </w:rPr>
              <w:t>Importance of showing innovation</w:t>
            </w:r>
          </w:p>
        </w:tc>
      </w:tr>
      <w:tr w:rsidRPr="00C43185" w:rsidR="00196116" w:rsidTr="00FD5127" w14:paraId="08004EA2" w14:textId="77777777">
        <w:trPr>
          <w:trHeight w:val="510"/>
        </w:trPr>
        <w:tc>
          <w:tcPr>
            <w:tcW w:w="7650" w:type="dxa"/>
            <w:shd w:val="clear" w:color="auto" w:fill="F2F2F2" w:themeFill="background1" w:themeFillShade="F2"/>
            <w:vAlign w:val="center"/>
          </w:tcPr>
          <w:p w:rsidRPr="00931E2C" w:rsidR="00196116" w:rsidP="001B36EE" w:rsidRDefault="00196116" w14:paraId="32103FF0" w14:textId="22256FCC">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positioned the proposal as both innovative and feasible?</w:t>
            </w:r>
          </w:p>
        </w:tc>
        <w:tc>
          <w:tcPr>
            <w:tcW w:w="850" w:type="dxa"/>
            <w:shd w:val="clear" w:color="auto" w:fill="F2F2F2" w:themeFill="background1" w:themeFillShade="F2"/>
          </w:tcPr>
          <w:p w:rsidRPr="00C43185" w:rsidR="00196116" w:rsidP="001B36EE" w:rsidRDefault="00196116" w14:paraId="3471ACD6" w14:textId="77777777">
            <w:pPr>
              <w:rPr>
                <w:rFonts w:ascii="Poppins" w:hAnsi="Poppins" w:eastAsia="Calibri" w:cs="Poppins"/>
                <w:color w:val="A6A6A6" w:themeColor="background1" w:themeShade="A6"/>
              </w:rPr>
            </w:pPr>
          </w:p>
        </w:tc>
      </w:tr>
      <w:tr w:rsidRPr="00C43185" w:rsidR="00196116" w:rsidTr="00F4711F" w14:paraId="210E3E1A" w14:textId="77777777">
        <w:trPr>
          <w:trHeight w:val="567"/>
        </w:trPr>
        <w:tc>
          <w:tcPr>
            <w:tcW w:w="8500" w:type="dxa"/>
            <w:gridSpan w:val="2"/>
            <w:shd w:val="clear" w:color="auto" w:fill="0096FF"/>
            <w:vAlign w:val="center"/>
          </w:tcPr>
          <w:p w:rsidRPr="00F4711F" w:rsidR="00196116" w:rsidP="001B36EE" w:rsidRDefault="00196116" w14:paraId="683DAC77" w14:textId="113E97EA">
            <w:pPr>
              <w:rPr>
                <w:rFonts w:ascii="Poppins" w:hAnsi="Poppins" w:eastAsia="Calibri" w:cs="Poppins"/>
                <w:color w:val="FFFFFF" w:themeColor="background1"/>
              </w:rPr>
            </w:pPr>
            <w:r w:rsidRPr="00F4711F">
              <w:rPr>
                <w:rFonts w:ascii="Poppins" w:hAnsi="Poppins" w:eastAsia="Calibri" w:cs="Poppins"/>
                <w:b/>
                <w:bCs/>
                <w:color w:val="FFFFFF" w:themeColor="background1"/>
              </w:rPr>
              <w:t>The role of the team</w:t>
            </w:r>
          </w:p>
        </w:tc>
      </w:tr>
      <w:tr w:rsidRPr="00C43185" w:rsidR="00196116" w:rsidTr="00FD5127" w14:paraId="0CCD6EE8" w14:textId="77777777">
        <w:trPr>
          <w:trHeight w:val="510"/>
        </w:trPr>
        <w:tc>
          <w:tcPr>
            <w:tcW w:w="7650" w:type="dxa"/>
            <w:shd w:val="clear" w:color="auto" w:fill="F2F2F2" w:themeFill="background1" w:themeFillShade="F2"/>
            <w:vAlign w:val="center"/>
          </w:tcPr>
          <w:p w:rsidRPr="00931E2C" w:rsidR="00196116" w:rsidP="001B36EE" w:rsidRDefault="00196116" w14:paraId="2AA7B675" w14:textId="2956A554">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Can you explain the role of the team in preparing the plan?</w:t>
            </w:r>
          </w:p>
        </w:tc>
        <w:tc>
          <w:tcPr>
            <w:tcW w:w="850" w:type="dxa"/>
            <w:shd w:val="clear" w:color="auto" w:fill="F2F2F2" w:themeFill="background1" w:themeFillShade="F2"/>
          </w:tcPr>
          <w:p w:rsidRPr="00C43185" w:rsidR="00196116" w:rsidP="001B36EE" w:rsidRDefault="00196116" w14:paraId="7F0F661D" w14:textId="77777777">
            <w:pPr>
              <w:rPr>
                <w:rFonts w:ascii="Poppins" w:hAnsi="Poppins" w:eastAsia="Calibri" w:cs="Poppins"/>
                <w:color w:val="A6A6A6" w:themeColor="background1" w:themeShade="A6"/>
              </w:rPr>
            </w:pPr>
          </w:p>
        </w:tc>
      </w:tr>
      <w:tr w:rsidRPr="00C43185" w:rsidR="00196116" w:rsidTr="00FD5127" w14:paraId="33F75AC8" w14:textId="77777777">
        <w:trPr>
          <w:trHeight w:val="510"/>
        </w:trPr>
        <w:tc>
          <w:tcPr>
            <w:tcW w:w="7650" w:type="dxa"/>
            <w:shd w:val="clear" w:color="auto" w:fill="F2F2F2" w:themeFill="background1" w:themeFillShade="F2"/>
            <w:vAlign w:val="center"/>
          </w:tcPr>
          <w:p w:rsidRPr="00931E2C" w:rsidR="00196116" w:rsidP="001B36EE" w:rsidRDefault="00196116" w14:paraId="7FB90B64" w14:textId="7C115FA1">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Can you show that teams are integral to success?</w:t>
            </w:r>
          </w:p>
        </w:tc>
        <w:tc>
          <w:tcPr>
            <w:tcW w:w="850" w:type="dxa"/>
            <w:shd w:val="clear" w:color="auto" w:fill="F2F2F2" w:themeFill="background1" w:themeFillShade="F2"/>
          </w:tcPr>
          <w:p w:rsidRPr="00C43185" w:rsidR="00196116" w:rsidP="001B36EE" w:rsidRDefault="00196116" w14:paraId="78F6ED37" w14:textId="77777777">
            <w:pPr>
              <w:rPr>
                <w:rFonts w:ascii="Poppins" w:hAnsi="Poppins" w:eastAsia="Calibri" w:cs="Poppins"/>
                <w:color w:val="A6A6A6" w:themeColor="background1" w:themeShade="A6"/>
              </w:rPr>
            </w:pPr>
          </w:p>
        </w:tc>
      </w:tr>
      <w:tr w:rsidRPr="00C43185" w:rsidR="00FD5127" w:rsidTr="00F4711F" w14:paraId="681D9264" w14:textId="77777777">
        <w:trPr>
          <w:trHeight w:val="567"/>
        </w:trPr>
        <w:tc>
          <w:tcPr>
            <w:tcW w:w="8500" w:type="dxa"/>
            <w:gridSpan w:val="2"/>
            <w:shd w:val="clear" w:color="auto" w:fill="0096FF"/>
            <w:vAlign w:val="center"/>
          </w:tcPr>
          <w:p w:rsidRPr="00C43185" w:rsidR="00FD5127" w:rsidP="001B36EE" w:rsidRDefault="00FD5127" w14:paraId="382B16FC" w14:textId="4B4F5779">
            <w:pPr>
              <w:rPr>
                <w:rFonts w:ascii="Poppins" w:hAnsi="Poppins" w:eastAsia="Calibri" w:cs="Poppins"/>
                <w:color w:val="A6A6A6" w:themeColor="background1" w:themeShade="A6"/>
              </w:rPr>
            </w:pPr>
            <w:r w:rsidRPr="00FD5127">
              <w:rPr>
                <w:rFonts w:ascii="Poppins" w:hAnsi="Poppins" w:eastAsia="Calibri" w:cs="Poppins"/>
                <w:b/>
                <w:bCs/>
                <w:color w:val="FFFFFF" w:themeColor="background1"/>
              </w:rPr>
              <w:t>The importance of a shared vision</w:t>
            </w:r>
          </w:p>
        </w:tc>
      </w:tr>
      <w:tr w:rsidRPr="00C43185" w:rsidR="00196116" w:rsidTr="00FD5127" w14:paraId="4F3C26E2" w14:textId="77777777">
        <w:trPr>
          <w:trHeight w:val="850"/>
        </w:trPr>
        <w:tc>
          <w:tcPr>
            <w:tcW w:w="7650" w:type="dxa"/>
            <w:shd w:val="clear" w:color="auto" w:fill="F2F2F2" w:themeFill="background1" w:themeFillShade="F2"/>
            <w:vAlign w:val="center"/>
          </w:tcPr>
          <w:p w:rsidRPr="00931E2C" w:rsidR="00196116" w:rsidP="001B36EE" w:rsidRDefault="00196116" w14:paraId="2AFA0434" w14:textId="15EBA8EA">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Does your plan fit within the vision of your organisation and the ICS, i.e., the direction in which your Trust/ICS is going?</w:t>
            </w:r>
          </w:p>
        </w:tc>
        <w:tc>
          <w:tcPr>
            <w:tcW w:w="850" w:type="dxa"/>
            <w:shd w:val="clear" w:color="auto" w:fill="F2F2F2" w:themeFill="background1" w:themeFillShade="F2"/>
          </w:tcPr>
          <w:p w:rsidRPr="00C43185" w:rsidR="00196116" w:rsidP="001B36EE" w:rsidRDefault="00196116" w14:paraId="54800B3E" w14:textId="77777777">
            <w:pPr>
              <w:rPr>
                <w:rFonts w:ascii="Poppins" w:hAnsi="Poppins" w:eastAsia="Calibri" w:cs="Poppins"/>
                <w:color w:val="A6A6A6" w:themeColor="background1" w:themeShade="A6"/>
              </w:rPr>
            </w:pPr>
          </w:p>
        </w:tc>
      </w:tr>
      <w:tr w:rsidRPr="00C43185" w:rsidR="00196116" w:rsidTr="00FD5127" w14:paraId="52FD46DB" w14:textId="77777777">
        <w:trPr>
          <w:trHeight w:val="850"/>
        </w:trPr>
        <w:tc>
          <w:tcPr>
            <w:tcW w:w="7650" w:type="dxa"/>
            <w:shd w:val="clear" w:color="auto" w:fill="F2F2F2" w:themeFill="background1" w:themeFillShade="F2"/>
            <w:vAlign w:val="center"/>
          </w:tcPr>
          <w:p w:rsidRPr="00931E2C" w:rsidR="00196116" w:rsidP="001B36EE" w:rsidRDefault="00196116" w14:paraId="7AA44DF1" w14:textId="0CBBE597">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Does your plan demonstrate that the aims of the service connect with the organisation’s vision?</w:t>
            </w:r>
          </w:p>
        </w:tc>
        <w:tc>
          <w:tcPr>
            <w:tcW w:w="850" w:type="dxa"/>
            <w:shd w:val="clear" w:color="auto" w:fill="F2F2F2" w:themeFill="background1" w:themeFillShade="F2"/>
          </w:tcPr>
          <w:p w:rsidRPr="00C43185" w:rsidR="00196116" w:rsidP="001B36EE" w:rsidRDefault="00196116" w14:paraId="0C4F22F8" w14:textId="77777777">
            <w:pPr>
              <w:rPr>
                <w:rFonts w:ascii="Poppins" w:hAnsi="Poppins" w:eastAsia="Calibri" w:cs="Poppins"/>
                <w:color w:val="A6A6A6" w:themeColor="background1" w:themeShade="A6"/>
              </w:rPr>
            </w:pPr>
          </w:p>
        </w:tc>
      </w:tr>
      <w:tr w:rsidRPr="00C43185" w:rsidR="00196116" w:rsidTr="00FD5127" w14:paraId="2F50F015" w14:textId="77777777">
        <w:trPr>
          <w:trHeight w:val="850"/>
        </w:trPr>
        <w:tc>
          <w:tcPr>
            <w:tcW w:w="7650" w:type="dxa"/>
            <w:shd w:val="clear" w:color="auto" w:fill="F2F2F2" w:themeFill="background1" w:themeFillShade="F2"/>
            <w:vAlign w:val="center"/>
          </w:tcPr>
          <w:p w:rsidRPr="00931E2C" w:rsidR="00196116" w:rsidP="001B36EE" w:rsidRDefault="00196116" w14:paraId="0EAF4AD2" w14:textId="1F637766">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shown that your leaders and team members align and engage resources and stakeholders effectively?</w:t>
            </w:r>
          </w:p>
        </w:tc>
        <w:tc>
          <w:tcPr>
            <w:tcW w:w="850" w:type="dxa"/>
            <w:shd w:val="clear" w:color="auto" w:fill="F2F2F2" w:themeFill="background1" w:themeFillShade="F2"/>
          </w:tcPr>
          <w:p w:rsidRPr="00C43185" w:rsidR="00196116" w:rsidP="001B36EE" w:rsidRDefault="00196116" w14:paraId="75D60A2A" w14:textId="77777777">
            <w:pPr>
              <w:rPr>
                <w:rFonts w:ascii="Poppins" w:hAnsi="Poppins" w:eastAsia="Calibri" w:cs="Poppins"/>
                <w:color w:val="A6A6A6" w:themeColor="background1" w:themeShade="A6"/>
              </w:rPr>
            </w:pPr>
          </w:p>
        </w:tc>
      </w:tr>
      <w:tr w:rsidRPr="00C43185" w:rsidR="00196116" w:rsidTr="00F4711F" w14:paraId="691B47B5" w14:textId="77777777">
        <w:trPr>
          <w:trHeight w:val="567"/>
        </w:trPr>
        <w:tc>
          <w:tcPr>
            <w:tcW w:w="8500" w:type="dxa"/>
            <w:gridSpan w:val="2"/>
            <w:shd w:val="clear" w:color="auto" w:fill="0096FF"/>
            <w:vAlign w:val="center"/>
          </w:tcPr>
          <w:p w:rsidRPr="00FD5127" w:rsidR="00196116" w:rsidP="001B36EE" w:rsidRDefault="00196116" w14:paraId="3946B85B" w14:textId="0824F636">
            <w:pPr>
              <w:rPr>
                <w:rFonts w:ascii="Poppins" w:hAnsi="Poppins" w:eastAsia="Calibri" w:cs="Poppins"/>
                <w:color w:val="FFFFFF" w:themeColor="background1"/>
              </w:rPr>
            </w:pPr>
            <w:r w:rsidRPr="00FD5127">
              <w:rPr>
                <w:rFonts w:ascii="Poppins" w:hAnsi="Poppins" w:eastAsia="Calibri" w:cs="Poppins"/>
                <w:b/>
                <w:bCs/>
                <w:color w:val="FFFFFF" w:themeColor="background1"/>
              </w:rPr>
              <w:t>Content of the plan.</w:t>
            </w:r>
            <w:r w:rsidRPr="00FD5127" w:rsidR="00017C92">
              <w:rPr>
                <w:rFonts w:ascii="Poppins" w:hAnsi="Poppins" w:eastAsia="Calibri" w:cs="Poppins"/>
                <w:b/>
                <w:bCs/>
                <w:color w:val="FFFFFF" w:themeColor="background1"/>
              </w:rPr>
              <w:t xml:space="preserve"> </w:t>
            </w:r>
            <w:r w:rsidRPr="00FD5127">
              <w:rPr>
                <w:rFonts w:ascii="Poppins" w:hAnsi="Poppins" w:eastAsia="Calibri" w:cs="Poppins"/>
                <w:color w:val="FFFFFF" w:themeColor="background1"/>
              </w:rPr>
              <w:t>Does your plan clearly describe:</w:t>
            </w:r>
          </w:p>
        </w:tc>
      </w:tr>
      <w:tr w:rsidRPr="00C43185" w:rsidR="00196116" w:rsidTr="00FD5127" w14:paraId="56F3ECD4" w14:textId="77777777">
        <w:trPr>
          <w:trHeight w:val="850"/>
        </w:trPr>
        <w:tc>
          <w:tcPr>
            <w:tcW w:w="7650" w:type="dxa"/>
            <w:shd w:val="clear" w:color="auto" w:fill="F2F2F2" w:themeFill="background1" w:themeFillShade="F2"/>
            <w:vAlign w:val="center"/>
          </w:tcPr>
          <w:p w:rsidRPr="00931E2C" w:rsidR="00196116" w:rsidP="001B36EE" w:rsidRDefault="00196116" w14:paraId="12821070" w14:textId="78AA0DF2">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Where the service will be delivered (products, departments or specialties)?</w:t>
            </w:r>
          </w:p>
        </w:tc>
        <w:tc>
          <w:tcPr>
            <w:tcW w:w="850" w:type="dxa"/>
            <w:shd w:val="clear" w:color="auto" w:fill="F2F2F2" w:themeFill="background1" w:themeFillShade="F2"/>
          </w:tcPr>
          <w:p w:rsidRPr="00C43185" w:rsidR="00196116" w:rsidP="001B36EE" w:rsidRDefault="00196116" w14:paraId="22BD65B7" w14:textId="77777777">
            <w:pPr>
              <w:rPr>
                <w:rFonts w:ascii="Poppins" w:hAnsi="Poppins" w:eastAsia="Calibri" w:cs="Poppins"/>
                <w:color w:val="A6A6A6" w:themeColor="background1" w:themeShade="A6"/>
              </w:rPr>
            </w:pPr>
          </w:p>
        </w:tc>
      </w:tr>
      <w:tr w:rsidRPr="00C43185" w:rsidR="00196116" w:rsidTr="00FD5127" w14:paraId="5AA78D04" w14:textId="77777777">
        <w:trPr>
          <w:trHeight w:val="510"/>
        </w:trPr>
        <w:tc>
          <w:tcPr>
            <w:tcW w:w="7650" w:type="dxa"/>
            <w:shd w:val="clear" w:color="auto" w:fill="F2F2F2" w:themeFill="background1" w:themeFillShade="F2"/>
            <w:vAlign w:val="center"/>
          </w:tcPr>
          <w:p w:rsidRPr="00931E2C" w:rsidR="00196116" w:rsidP="001B36EE" w:rsidRDefault="00196116" w14:paraId="050343D1" w14:textId="2EE5F88C">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How the service will be implemented (means to implement)?</w:t>
            </w:r>
          </w:p>
        </w:tc>
        <w:tc>
          <w:tcPr>
            <w:tcW w:w="850" w:type="dxa"/>
            <w:shd w:val="clear" w:color="auto" w:fill="F2F2F2" w:themeFill="background1" w:themeFillShade="F2"/>
          </w:tcPr>
          <w:p w:rsidRPr="00C43185" w:rsidR="00196116" w:rsidP="001B36EE" w:rsidRDefault="00196116" w14:paraId="694D6EFB" w14:textId="77777777">
            <w:pPr>
              <w:rPr>
                <w:rFonts w:ascii="Poppins" w:hAnsi="Poppins" w:eastAsia="Calibri" w:cs="Poppins"/>
                <w:color w:val="A6A6A6" w:themeColor="background1" w:themeShade="A6"/>
              </w:rPr>
            </w:pPr>
          </w:p>
        </w:tc>
      </w:tr>
      <w:tr w:rsidRPr="00C43185" w:rsidR="00196116" w:rsidTr="00FD5127" w14:paraId="2111E49D" w14:textId="77777777">
        <w:trPr>
          <w:trHeight w:val="510"/>
        </w:trPr>
        <w:tc>
          <w:tcPr>
            <w:tcW w:w="7650" w:type="dxa"/>
            <w:shd w:val="clear" w:color="auto" w:fill="F2F2F2" w:themeFill="background1" w:themeFillShade="F2"/>
            <w:vAlign w:val="center"/>
          </w:tcPr>
          <w:p w:rsidRPr="00931E2C" w:rsidR="00196116" w:rsidP="001B36EE" w:rsidRDefault="00196116" w14:paraId="0CDAD34D" w14:textId="477CE19C">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How the service will be judged as superior to existing standard of care?</w:t>
            </w:r>
          </w:p>
        </w:tc>
        <w:tc>
          <w:tcPr>
            <w:tcW w:w="850" w:type="dxa"/>
            <w:shd w:val="clear" w:color="auto" w:fill="F2F2F2" w:themeFill="background1" w:themeFillShade="F2"/>
          </w:tcPr>
          <w:p w:rsidRPr="00C43185" w:rsidR="00196116" w:rsidP="001B36EE" w:rsidRDefault="00196116" w14:paraId="41E8F528" w14:textId="77777777">
            <w:pPr>
              <w:rPr>
                <w:rFonts w:ascii="Poppins" w:hAnsi="Poppins" w:eastAsia="Calibri" w:cs="Poppins"/>
                <w:color w:val="A6A6A6" w:themeColor="background1" w:themeShade="A6"/>
              </w:rPr>
            </w:pPr>
          </w:p>
        </w:tc>
      </w:tr>
      <w:tr w:rsidRPr="00C43185" w:rsidR="00196116" w:rsidTr="00FD5127" w14:paraId="0AB263C2" w14:textId="77777777">
        <w:trPr>
          <w:trHeight w:val="850"/>
        </w:trPr>
        <w:tc>
          <w:tcPr>
            <w:tcW w:w="7650" w:type="dxa"/>
            <w:shd w:val="clear" w:color="auto" w:fill="F2F2F2" w:themeFill="background1" w:themeFillShade="F2"/>
            <w:vAlign w:val="center"/>
          </w:tcPr>
          <w:p w:rsidRPr="00931E2C" w:rsidR="00196116" w:rsidP="001B36EE" w:rsidRDefault="00196116" w14:paraId="28CB215D" w14:textId="1CE7F3D8">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How quickly the service can be implemented and what should be the logical order of events?</w:t>
            </w:r>
          </w:p>
        </w:tc>
        <w:tc>
          <w:tcPr>
            <w:tcW w:w="850" w:type="dxa"/>
            <w:shd w:val="clear" w:color="auto" w:fill="F2F2F2" w:themeFill="background1" w:themeFillShade="F2"/>
          </w:tcPr>
          <w:p w:rsidRPr="00C43185" w:rsidR="00196116" w:rsidP="001B36EE" w:rsidRDefault="00196116" w14:paraId="13CBC0DC" w14:textId="77777777">
            <w:pPr>
              <w:rPr>
                <w:rFonts w:ascii="Poppins" w:hAnsi="Poppins" w:eastAsia="Calibri" w:cs="Poppins"/>
                <w:color w:val="A6A6A6" w:themeColor="background1" w:themeShade="A6"/>
              </w:rPr>
            </w:pPr>
          </w:p>
        </w:tc>
      </w:tr>
      <w:tr w:rsidRPr="00C43185" w:rsidR="00196116" w:rsidTr="00FD5127" w14:paraId="46440C05" w14:textId="77777777">
        <w:trPr>
          <w:trHeight w:val="510"/>
        </w:trPr>
        <w:tc>
          <w:tcPr>
            <w:tcW w:w="7650" w:type="dxa"/>
            <w:shd w:val="clear" w:color="auto" w:fill="F2F2F2" w:themeFill="background1" w:themeFillShade="F2"/>
            <w:vAlign w:val="center"/>
          </w:tcPr>
          <w:p w:rsidRPr="00931E2C" w:rsidR="00196116" w:rsidP="001B36EE" w:rsidRDefault="00196116" w14:paraId="6C3B0FFC" w14:textId="0982549A">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How money will be saved by implementing the service?</w:t>
            </w:r>
          </w:p>
        </w:tc>
        <w:tc>
          <w:tcPr>
            <w:tcW w:w="850" w:type="dxa"/>
            <w:shd w:val="clear" w:color="auto" w:fill="F2F2F2" w:themeFill="background1" w:themeFillShade="F2"/>
          </w:tcPr>
          <w:p w:rsidRPr="00C43185" w:rsidR="00196116" w:rsidP="001B36EE" w:rsidRDefault="00196116" w14:paraId="30E11735" w14:textId="77777777">
            <w:pPr>
              <w:rPr>
                <w:rFonts w:ascii="Poppins" w:hAnsi="Poppins" w:eastAsia="Calibri" w:cs="Poppins"/>
                <w:color w:val="A6A6A6" w:themeColor="background1" w:themeShade="A6"/>
              </w:rPr>
            </w:pPr>
          </w:p>
        </w:tc>
      </w:tr>
      <w:tr w:rsidRPr="00C43185" w:rsidR="00196116" w:rsidTr="00F4711F" w14:paraId="07B9E5DC" w14:textId="77777777">
        <w:trPr>
          <w:trHeight w:val="567"/>
        </w:trPr>
        <w:tc>
          <w:tcPr>
            <w:tcW w:w="8500" w:type="dxa"/>
            <w:gridSpan w:val="2"/>
            <w:shd w:val="clear" w:color="auto" w:fill="0096FF"/>
            <w:vAlign w:val="center"/>
          </w:tcPr>
          <w:p w:rsidRPr="00FD5127" w:rsidR="00196116" w:rsidP="001B36EE" w:rsidRDefault="00196116" w14:paraId="75A64BE1" w14:textId="67F45516">
            <w:pPr>
              <w:rPr>
                <w:rFonts w:ascii="Poppins" w:hAnsi="Poppins" w:eastAsia="Calibri" w:cs="Poppins"/>
                <w:color w:val="FFFFFF" w:themeColor="background1"/>
              </w:rPr>
            </w:pPr>
            <w:r w:rsidRPr="00FD5127">
              <w:rPr>
                <w:rFonts w:ascii="Poppins" w:hAnsi="Poppins" w:eastAsia="Calibri" w:cs="Poppins"/>
                <w:b/>
                <w:bCs/>
                <w:color w:val="FFFFFF" w:themeColor="background1"/>
              </w:rPr>
              <w:t>Does your plan include the following:</w:t>
            </w:r>
          </w:p>
        </w:tc>
      </w:tr>
      <w:tr w:rsidRPr="00C43185" w:rsidR="00196116" w:rsidTr="00FD5127" w14:paraId="2DAC471E" w14:textId="77777777">
        <w:trPr>
          <w:trHeight w:val="860"/>
        </w:trPr>
        <w:tc>
          <w:tcPr>
            <w:tcW w:w="7650" w:type="dxa"/>
            <w:shd w:val="clear" w:color="auto" w:fill="F2F2F2" w:themeFill="background1" w:themeFillShade="F2"/>
            <w:vAlign w:val="center"/>
          </w:tcPr>
          <w:p w:rsidRPr="00931E2C" w:rsidR="00196116" w:rsidP="001B36EE" w:rsidRDefault="00196116" w14:paraId="18AD51F9" w14:textId="23710F3A">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A service title, the name of your organisation, the site where your service will be delivered (primary care, secondary, tertiary or all three)?</w:t>
            </w:r>
          </w:p>
        </w:tc>
        <w:tc>
          <w:tcPr>
            <w:tcW w:w="850" w:type="dxa"/>
            <w:shd w:val="clear" w:color="auto" w:fill="F2F2F2" w:themeFill="background1" w:themeFillShade="F2"/>
          </w:tcPr>
          <w:p w:rsidRPr="00C43185" w:rsidR="00196116" w:rsidP="001B36EE" w:rsidRDefault="00196116" w14:paraId="4C2E7787" w14:textId="77777777">
            <w:pPr>
              <w:rPr>
                <w:rFonts w:ascii="Poppins" w:hAnsi="Poppins" w:eastAsia="Calibri" w:cs="Poppins"/>
                <w:color w:val="A6A6A6" w:themeColor="background1" w:themeShade="A6"/>
              </w:rPr>
            </w:pPr>
          </w:p>
        </w:tc>
      </w:tr>
      <w:tr w:rsidRPr="00C43185" w:rsidR="00196116" w:rsidTr="00FD5127" w14:paraId="476B4D2D" w14:textId="77777777">
        <w:trPr>
          <w:trHeight w:val="850"/>
        </w:trPr>
        <w:tc>
          <w:tcPr>
            <w:tcW w:w="7650" w:type="dxa"/>
            <w:shd w:val="clear" w:color="auto" w:fill="F2F2F2" w:themeFill="background1" w:themeFillShade="F2"/>
            <w:vAlign w:val="center"/>
          </w:tcPr>
          <w:p w:rsidRPr="00931E2C" w:rsidR="00196116" w:rsidP="001B36EE" w:rsidRDefault="00196116" w14:paraId="4658B34A" w14:textId="4361DC91">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The name of the service lead, i.e., the primary contact? This person needs in-depth knowledge of the service proposal</w:t>
            </w:r>
          </w:p>
        </w:tc>
        <w:tc>
          <w:tcPr>
            <w:tcW w:w="850" w:type="dxa"/>
            <w:shd w:val="clear" w:color="auto" w:fill="F2F2F2" w:themeFill="background1" w:themeFillShade="F2"/>
          </w:tcPr>
          <w:p w:rsidRPr="00C43185" w:rsidR="00196116" w:rsidP="001B36EE" w:rsidRDefault="00196116" w14:paraId="53E30608" w14:textId="77777777">
            <w:pPr>
              <w:rPr>
                <w:rFonts w:ascii="Poppins" w:hAnsi="Poppins" w:eastAsia="Calibri" w:cs="Poppins"/>
                <w:color w:val="A6A6A6" w:themeColor="background1" w:themeShade="A6"/>
              </w:rPr>
            </w:pPr>
          </w:p>
        </w:tc>
      </w:tr>
      <w:tr w:rsidRPr="00C43185" w:rsidR="00196116" w:rsidTr="00FD5127" w14:paraId="282250B5" w14:textId="77777777">
        <w:trPr>
          <w:trHeight w:val="850"/>
        </w:trPr>
        <w:tc>
          <w:tcPr>
            <w:tcW w:w="7650" w:type="dxa"/>
            <w:shd w:val="clear" w:color="auto" w:fill="F2F2F2" w:themeFill="background1" w:themeFillShade="F2"/>
            <w:vAlign w:val="center"/>
          </w:tcPr>
          <w:p w:rsidRPr="00931E2C" w:rsidR="00196116" w:rsidP="001B36EE" w:rsidRDefault="00196116" w14:paraId="0BECAB4A" w14:textId="1C577EDE">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described the qualifications of the service lead and the people making up the team?</w:t>
            </w:r>
          </w:p>
        </w:tc>
        <w:tc>
          <w:tcPr>
            <w:tcW w:w="850" w:type="dxa"/>
            <w:shd w:val="clear" w:color="auto" w:fill="F2F2F2" w:themeFill="background1" w:themeFillShade="F2"/>
          </w:tcPr>
          <w:p w:rsidRPr="00C43185" w:rsidR="00196116" w:rsidP="001B36EE" w:rsidRDefault="00196116" w14:paraId="1173F247" w14:textId="77777777">
            <w:pPr>
              <w:rPr>
                <w:rFonts w:ascii="Poppins" w:hAnsi="Poppins" w:eastAsia="Calibri" w:cs="Poppins"/>
                <w:color w:val="A6A6A6" w:themeColor="background1" w:themeShade="A6"/>
              </w:rPr>
            </w:pPr>
          </w:p>
        </w:tc>
      </w:tr>
      <w:tr w:rsidRPr="00C43185" w:rsidR="00196116" w:rsidTr="00FD5127" w14:paraId="5136A45A" w14:textId="77777777">
        <w:trPr>
          <w:trHeight w:val="510"/>
        </w:trPr>
        <w:tc>
          <w:tcPr>
            <w:tcW w:w="7650" w:type="dxa"/>
            <w:shd w:val="clear" w:color="auto" w:fill="F2F2F2" w:themeFill="background1" w:themeFillShade="F2"/>
            <w:vAlign w:val="center"/>
          </w:tcPr>
          <w:p w:rsidRPr="00931E2C" w:rsidR="00196116" w:rsidP="001B36EE" w:rsidRDefault="00196116" w14:paraId="111DF3B9" w14:textId="63AADC78">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described the service lead’s current role in the Trust?</w:t>
            </w:r>
          </w:p>
        </w:tc>
        <w:tc>
          <w:tcPr>
            <w:tcW w:w="850" w:type="dxa"/>
            <w:shd w:val="clear" w:color="auto" w:fill="F2F2F2" w:themeFill="background1" w:themeFillShade="F2"/>
          </w:tcPr>
          <w:p w:rsidRPr="00C43185" w:rsidR="00196116" w:rsidP="001B36EE" w:rsidRDefault="00196116" w14:paraId="451BA931" w14:textId="77777777">
            <w:pPr>
              <w:rPr>
                <w:rFonts w:ascii="Poppins" w:hAnsi="Poppins" w:eastAsia="Calibri" w:cs="Poppins"/>
                <w:color w:val="A6A6A6" w:themeColor="background1" w:themeShade="A6"/>
              </w:rPr>
            </w:pPr>
          </w:p>
        </w:tc>
      </w:tr>
      <w:tr w:rsidRPr="00C43185" w:rsidR="00196116" w:rsidTr="00FD5127" w14:paraId="043BAB9B" w14:textId="77777777">
        <w:trPr>
          <w:trHeight w:val="1447"/>
        </w:trPr>
        <w:tc>
          <w:tcPr>
            <w:tcW w:w="7650" w:type="dxa"/>
            <w:shd w:val="clear" w:color="auto" w:fill="F2F2F2" w:themeFill="background1" w:themeFillShade="F2"/>
            <w:vAlign w:val="center"/>
          </w:tcPr>
          <w:p w:rsidRPr="00931E2C" w:rsidR="00196116" w:rsidP="001B36EE" w:rsidRDefault="00196116" w14:paraId="35746E35" w14:textId="2CD8CEEC">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described other members of the team delivering the service. Explain their current roles and their proposed role in the service. It may help to explain why they were each brought together to join the team for this service and the special knowledge and skills that each brings</w:t>
            </w:r>
          </w:p>
        </w:tc>
        <w:tc>
          <w:tcPr>
            <w:tcW w:w="850" w:type="dxa"/>
            <w:shd w:val="clear" w:color="auto" w:fill="F2F2F2" w:themeFill="background1" w:themeFillShade="F2"/>
          </w:tcPr>
          <w:p w:rsidRPr="00C43185" w:rsidR="00196116" w:rsidP="001B36EE" w:rsidRDefault="00196116" w14:paraId="4EB4AC1D" w14:textId="77777777">
            <w:pPr>
              <w:rPr>
                <w:rFonts w:ascii="Poppins" w:hAnsi="Poppins" w:eastAsia="Calibri" w:cs="Poppins"/>
                <w:color w:val="A6A6A6" w:themeColor="background1" w:themeShade="A6"/>
              </w:rPr>
            </w:pPr>
          </w:p>
        </w:tc>
      </w:tr>
      <w:tr w:rsidRPr="00C43185" w:rsidR="00196116" w:rsidTr="00F4711F" w14:paraId="0D4B1F84" w14:textId="77777777">
        <w:trPr>
          <w:trHeight w:val="850"/>
        </w:trPr>
        <w:tc>
          <w:tcPr>
            <w:tcW w:w="8500" w:type="dxa"/>
            <w:gridSpan w:val="2"/>
            <w:shd w:val="clear" w:color="auto" w:fill="0096FF"/>
            <w:vAlign w:val="center"/>
          </w:tcPr>
          <w:p w:rsidRPr="00FD5127" w:rsidR="00196116" w:rsidP="001B36EE" w:rsidRDefault="00196116" w14:paraId="1EF738CF" w14:textId="3DDB8C62">
            <w:pPr>
              <w:rPr>
                <w:rFonts w:ascii="Poppins" w:hAnsi="Poppins" w:eastAsia="Calibri" w:cs="Poppins"/>
                <w:color w:val="FFFFFF" w:themeColor="background1"/>
              </w:rPr>
            </w:pPr>
            <w:r w:rsidRPr="00FD5127">
              <w:rPr>
                <w:rFonts w:ascii="Poppins" w:hAnsi="Poppins" w:eastAsia="Calibri" w:cs="Poppins"/>
                <w:b/>
                <w:bCs/>
                <w:color w:val="FFFFFF" w:themeColor="background1"/>
              </w:rPr>
              <w:t xml:space="preserve">Role of stakeholders involved in development and design of the </w:t>
            </w:r>
            <w:r w:rsidR="00FD5127">
              <w:rPr>
                <w:rFonts w:ascii="Poppins" w:hAnsi="Poppins" w:eastAsia="Calibri" w:cs="Poppins"/>
                <w:b/>
                <w:bCs/>
                <w:color w:val="FFFFFF" w:themeColor="background1"/>
              </w:rPr>
              <w:br/>
            </w:r>
            <w:r w:rsidRPr="00FD5127">
              <w:rPr>
                <w:rFonts w:ascii="Poppins" w:hAnsi="Poppins" w:eastAsia="Calibri" w:cs="Poppins"/>
                <w:b/>
                <w:bCs/>
                <w:color w:val="FFFFFF" w:themeColor="background1"/>
              </w:rPr>
              <w:t>proposed service</w:t>
            </w:r>
          </w:p>
        </w:tc>
      </w:tr>
      <w:tr w:rsidRPr="00C43185" w:rsidR="00196116" w:rsidTr="00FD5127" w14:paraId="0DC730A5" w14:textId="77777777">
        <w:trPr>
          <w:trHeight w:val="510"/>
        </w:trPr>
        <w:tc>
          <w:tcPr>
            <w:tcW w:w="7650" w:type="dxa"/>
            <w:shd w:val="clear" w:color="auto" w:fill="F2F2F2" w:themeFill="background1" w:themeFillShade="F2"/>
            <w:vAlign w:val="center"/>
          </w:tcPr>
          <w:p w:rsidRPr="00931E2C" w:rsidR="00196116" w:rsidP="001B36EE" w:rsidRDefault="00196116" w14:paraId="2548BF21" w14:textId="1926D459">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demonstrated the importance of identifying stakeholders?</w:t>
            </w:r>
          </w:p>
        </w:tc>
        <w:tc>
          <w:tcPr>
            <w:tcW w:w="850" w:type="dxa"/>
            <w:shd w:val="clear" w:color="auto" w:fill="F2F2F2" w:themeFill="background1" w:themeFillShade="F2"/>
          </w:tcPr>
          <w:p w:rsidRPr="00C43185" w:rsidR="00196116" w:rsidP="001B36EE" w:rsidRDefault="00196116" w14:paraId="72D919FF" w14:textId="77777777">
            <w:pPr>
              <w:rPr>
                <w:rFonts w:ascii="Poppins" w:hAnsi="Poppins" w:eastAsia="Calibri" w:cs="Poppins"/>
                <w:color w:val="A6A6A6" w:themeColor="background1" w:themeShade="A6"/>
              </w:rPr>
            </w:pPr>
          </w:p>
        </w:tc>
      </w:tr>
      <w:tr w:rsidRPr="00C43185" w:rsidR="00196116" w:rsidTr="00FD5127" w14:paraId="74B03002" w14:textId="77777777">
        <w:trPr>
          <w:trHeight w:val="1134"/>
        </w:trPr>
        <w:tc>
          <w:tcPr>
            <w:tcW w:w="7650" w:type="dxa"/>
            <w:shd w:val="clear" w:color="auto" w:fill="F2F2F2" w:themeFill="background1" w:themeFillShade="F2"/>
            <w:vAlign w:val="center"/>
          </w:tcPr>
          <w:p w:rsidRPr="00931E2C" w:rsidR="00196116" w:rsidP="001B36EE" w:rsidRDefault="00196116" w14:paraId="3750F532" w14:textId="01AD1F45">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described how stakeholders can play a role in shaping or funding the service, or influencing others to contribute time and resources?</w:t>
            </w:r>
          </w:p>
        </w:tc>
        <w:tc>
          <w:tcPr>
            <w:tcW w:w="850" w:type="dxa"/>
            <w:shd w:val="clear" w:color="auto" w:fill="F2F2F2" w:themeFill="background1" w:themeFillShade="F2"/>
          </w:tcPr>
          <w:p w:rsidRPr="00C43185" w:rsidR="00196116" w:rsidP="001B36EE" w:rsidRDefault="00196116" w14:paraId="37DB5748" w14:textId="77777777">
            <w:pPr>
              <w:rPr>
                <w:rFonts w:ascii="Poppins" w:hAnsi="Poppins" w:eastAsia="Calibri" w:cs="Poppins"/>
                <w:color w:val="A6A6A6" w:themeColor="background1" w:themeShade="A6"/>
              </w:rPr>
            </w:pPr>
          </w:p>
        </w:tc>
      </w:tr>
      <w:tr w:rsidRPr="00C43185" w:rsidR="00196116" w:rsidTr="00FD5127" w14:paraId="59CFE632" w14:textId="77777777">
        <w:trPr>
          <w:trHeight w:val="1134"/>
        </w:trPr>
        <w:tc>
          <w:tcPr>
            <w:tcW w:w="7650" w:type="dxa"/>
            <w:shd w:val="clear" w:color="auto" w:fill="F2F2F2" w:themeFill="background1" w:themeFillShade="F2"/>
            <w:vAlign w:val="center"/>
          </w:tcPr>
          <w:p w:rsidRPr="00931E2C" w:rsidR="00196116" w:rsidP="001B36EE" w:rsidRDefault="00196116" w14:paraId="1B69C5C5" w14:textId="699551BC">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shown that even though stakeholders may not play a role in implementation, they may be recognised opinion leaders or have a strong interest in the outcomes?</w:t>
            </w:r>
          </w:p>
        </w:tc>
        <w:tc>
          <w:tcPr>
            <w:tcW w:w="850" w:type="dxa"/>
            <w:shd w:val="clear" w:color="auto" w:fill="F2F2F2" w:themeFill="background1" w:themeFillShade="F2"/>
          </w:tcPr>
          <w:p w:rsidRPr="00C43185" w:rsidR="00196116" w:rsidP="001B36EE" w:rsidRDefault="00196116" w14:paraId="43D4E7DD" w14:textId="77777777">
            <w:pPr>
              <w:rPr>
                <w:rFonts w:ascii="Poppins" w:hAnsi="Poppins" w:eastAsia="Calibri" w:cs="Poppins"/>
                <w:color w:val="A6A6A6" w:themeColor="background1" w:themeShade="A6"/>
              </w:rPr>
            </w:pPr>
          </w:p>
        </w:tc>
      </w:tr>
      <w:tr w:rsidRPr="00C43185" w:rsidR="00196116" w:rsidTr="00FD5127" w14:paraId="45BD70CB" w14:textId="77777777">
        <w:trPr>
          <w:trHeight w:val="850"/>
        </w:trPr>
        <w:tc>
          <w:tcPr>
            <w:tcW w:w="7650" w:type="dxa"/>
            <w:shd w:val="clear" w:color="auto" w:fill="F2F2F2" w:themeFill="background1" w:themeFillShade="F2"/>
            <w:vAlign w:val="center"/>
          </w:tcPr>
          <w:p w:rsidRPr="00931E2C" w:rsidR="00196116" w:rsidP="001B36EE" w:rsidRDefault="00196116" w14:paraId="3B46838A" w14:textId="690DABC7">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recognised the benefits of ensuring that stakeholders fully understand the complexities of the challenge?</w:t>
            </w:r>
          </w:p>
        </w:tc>
        <w:tc>
          <w:tcPr>
            <w:tcW w:w="850" w:type="dxa"/>
            <w:shd w:val="clear" w:color="auto" w:fill="F2F2F2" w:themeFill="background1" w:themeFillShade="F2"/>
          </w:tcPr>
          <w:p w:rsidRPr="00C43185" w:rsidR="00196116" w:rsidP="001B36EE" w:rsidRDefault="00196116" w14:paraId="1B3119F4" w14:textId="77777777">
            <w:pPr>
              <w:rPr>
                <w:rFonts w:ascii="Poppins" w:hAnsi="Poppins" w:eastAsia="Calibri" w:cs="Poppins"/>
                <w:color w:val="A6A6A6" w:themeColor="background1" w:themeShade="A6"/>
              </w:rPr>
            </w:pPr>
          </w:p>
        </w:tc>
      </w:tr>
      <w:tr w:rsidRPr="00C43185" w:rsidR="00196116" w:rsidTr="00FD5127" w14:paraId="09B81438" w14:textId="77777777">
        <w:trPr>
          <w:trHeight w:val="850"/>
        </w:trPr>
        <w:tc>
          <w:tcPr>
            <w:tcW w:w="7650" w:type="dxa"/>
            <w:shd w:val="clear" w:color="auto" w:fill="F2F2F2" w:themeFill="background1" w:themeFillShade="F2"/>
            <w:vAlign w:val="center"/>
          </w:tcPr>
          <w:p w:rsidRPr="00931E2C" w:rsidR="00196116" w:rsidP="001B36EE" w:rsidRDefault="00407099" w14:paraId="0E6C6943" w14:textId="4C83CFC7">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demonstrated how stakeholders themselves can offer other approaches to the problem?</w:t>
            </w:r>
          </w:p>
        </w:tc>
        <w:tc>
          <w:tcPr>
            <w:tcW w:w="850" w:type="dxa"/>
            <w:shd w:val="clear" w:color="auto" w:fill="F2F2F2" w:themeFill="background1" w:themeFillShade="F2"/>
          </w:tcPr>
          <w:p w:rsidRPr="00C43185" w:rsidR="00196116" w:rsidP="001B36EE" w:rsidRDefault="00196116" w14:paraId="700EFACA" w14:textId="77777777">
            <w:pPr>
              <w:rPr>
                <w:rFonts w:ascii="Poppins" w:hAnsi="Poppins" w:eastAsia="Calibri" w:cs="Poppins"/>
                <w:color w:val="A6A6A6" w:themeColor="background1" w:themeShade="A6"/>
              </w:rPr>
            </w:pPr>
          </w:p>
        </w:tc>
      </w:tr>
      <w:tr w:rsidRPr="00C43185" w:rsidR="00407099" w:rsidTr="00FD5127" w14:paraId="5F042553" w14:textId="77777777">
        <w:trPr>
          <w:trHeight w:val="510"/>
        </w:trPr>
        <w:tc>
          <w:tcPr>
            <w:tcW w:w="7650" w:type="dxa"/>
            <w:shd w:val="clear" w:color="auto" w:fill="F2F2F2" w:themeFill="background1" w:themeFillShade="F2"/>
            <w:vAlign w:val="center"/>
          </w:tcPr>
          <w:p w:rsidRPr="00931E2C" w:rsidR="00407099" w:rsidP="001B36EE" w:rsidRDefault="00407099" w14:paraId="66600B9D" w14:textId="77C6E101">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demonstrated how patient experience will be captured?</w:t>
            </w:r>
          </w:p>
        </w:tc>
        <w:tc>
          <w:tcPr>
            <w:tcW w:w="850" w:type="dxa"/>
            <w:shd w:val="clear" w:color="auto" w:fill="F2F2F2" w:themeFill="background1" w:themeFillShade="F2"/>
          </w:tcPr>
          <w:p w:rsidRPr="00C43185" w:rsidR="00407099" w:rsidP="001B36EE" w:rsidRDefault="00407099" w14:paraId="0DAA72D6" w14:textId="77777777">
            <w:pPr>
              <w:rPr>
                <w:rFonts w:ascii="Poppins" w:hAnsi="Poppins" w:eastAsia="Calibri" w:cs="Poppins"/>
                <w:color w:val="A6A6A6" w:themeColor="background1" w:themeShade="A6"/>
              </w:rPr>
            </w:pPr>
          </w:p>
        </w:tc>
      </w:tr>
      <w:tr w:rsidRPr="00C43185" w:rsidR="00407099" w:rsidTr="00FD5127" w14:paraId="623E4C32" w14:textId="77777777">
        <w:trPr>
          <w:trHeight w:val="850"/>
        </w:trPr>
        <w:tc>
          <w:tcPr>
            <w:tcW w:w="7650" w:type="dxa"/>
            <w:shd w:val="clear" w:color="auto" w:fill="F2F2F2" w:themeFill="background1" w:themeFillShade="F2"/>
            <w:vAlign w:val="center"/>
          </w:tcPr>
          <w:p w:rsidRPr="00931E2C" w:rsidR="00407099" w:rsidP="001B36EE" w:rsidRDefault="00407099" w14:paraId="4DF48CEE" w14:textId="2C0A1F2E">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Have you identified who has overall responsibility for delivering the service (senior responsible officer)?</w:t>
            </w:r>
          </w:p>
        </w:tc>
        <w:tc>
          <w:tcPr>
            <w:tcW w:w="850" w:type="dxa"/>
            <w:shd w:val="clear" w:color="auto" w:fill="F2F2F2" w:themeFill="background1" w:themeFillShade="F2"/>
          </w:tcPr>
          <w:p w:rsidRPr="00C43185" w:rsidR="00407099" w:rsidP="001B36EE" w:rsidRDefault="00407099" w14:paraId="39CF56B6" w14:textId="77777777">
            <w:pPr>
              <w:rPr>
                <w:rFonts w:ascii="Poppins" w:hAnsi="Poppins" w:eastAsia="Calibri" w:cs="Poppins"/>
                <w:color w:val="A6A6A6" w:themeColor="background1" w:themeShade="A6"/>
              </w:rPr>
            </w:pPr>
          </w:p>
        </w:tc>
      </w:tr>
      <w:tr w:rsidRPr="00C43185" w:rsidR="00407099" w:rsidTr="00F4711F" w14:paraId="28F2EBFF" w14:textId="77777777">
        <w:trPr>
          <w:trHeight w:val="850"/>
        </w:trPr>
        <w:tc>
          <w:tcPr>
            <w:tcW w:w="8500" w:type="dxa"/>
            <w:gridSpan w:val="2"/>
            <w:shd w:val="clear" w:color="auto" w:fill="0096FF"/>
            <w:vAlign w:val="center"/>
          </w:tcPr>
          <w:p w:rsidRPr="00FD5127" w:rsidR="00407099" w:rsidP="001B36EE" w:rsidRDefault="00407099" w14:paraId="7B453443" w14:textId="434BCDE5">
            <w:pPr>
              <w:rPr>
                <w:rFonts w:ascii="Poppins" w:hAnsi="Poppins" w:eastAsia="Calibri" w:cs="Poppins"/>
                <w:color w:val="FFFFFF" w:themeColor="background1"/>
              </w:rPr>
            </w:pPr>
            <w:r w:rsidRPr="00FD5127">
              <w:rPr>
                <w:rFonts w:ascii="Poppins" w:hAnsi="Poppins" w:eastAsia="Calibri" w:cs="Poppins"/>
                <w:b/>
                <w:bCs/>
                <w:color w:val="FFFFFF" w:themeColor="background1"/>
              </w:rPr>
              <w:t>Improvement of existing standard of care.</w:t>
            </w:r>
            <w:r w:rsidRPr="00FD5127" w:rsidR="00017C92">
              <w:rPr>
                <w:rFonts w:ascii="Poppins" w:hAnsi="Poppins" w:eastAsia="Calibri" w:cs="Poppins"/>
                <w:b/>
                <w:bCs/>
                <w:color w:val="FFFFFF" w:themeColor="background1"/>
              </w:rPr>
              <w:t xml:space="preserve"> </w:t>
            </w:r>
            <w:r w:rsidRPr="00FD5127">
              <w:rPr>
                <w:rFonts w:ascii="Poppins" w:hAnsi="Poppins" w:eastAsia="Calibri" w:cs="Poppins"/>
                <w:color w:val="FFFFFF" w:themeColor="background1"/>
              </w:rPr>
              <w:t>Have you explained how your service may be capable of improving:</w:t>
            </w:r>
          </w:p>
        </w:tc>
      </w:tr>
      <w:tr w:rsidRPr="00C43185" w:rsidR="00407099" w:rsidTr="00FD5127" w14:paraId="03F6D43E" w14:textId="77777777">
        <w:trPr>
          <w:trHeight w:val="510"/>
        </w:trPr>
        <w:tc>
          <w:tcPr>
            <w:tcW w:w="7650" w:type="dxa"/>
            <w:shd w:val="clear" w:color="auto" w:fill="F2F2F2" w:themeFill="background1" w:themeFillShade="F2"/>
            <w:vAlign w:val="center"/>
          </w:tcPr>
          <w:p w:rsidRPr="00931E2C" w:rsidR="00407099" w:rsidP="001B36EE" w:rsidRDefault="00407099" w14:paraId="0BFD3F51" w14:textId="0C321D17">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The effectiveness of patient care?</w:t>
            </w:r>
          </w:p>
        </w:tc>
        <w:tc>
          <w:tcPr>
            <w:tcW w:w="850" w:type="dxa"/>
            <w:shd w:val="clear" w:color="auto" w:fill="F2F2F2" w:themeFill="background1" w:themeFillShade="F2"/>
          </w:tcPr>
          <w:p w:rsidRPr="00C43185" w:rsidR="00407099" w:rsidP="001B36EE" w:rsidRDefault="00407099" w14:paraId="0D72B0D7" w14:textId="77777777">
            <w:pPr>
              <w:rPr>
                <w:rFonts w:ascii="Poppins" w:hAnsi="Poppins" w:eastAsia="Calibri" w:cs="Poppins"/>
                <w:color w:val="A6A6A6" w:themeColor="background1" w:themeShade="A6"/>
              </w:rPr>
            </w:pPr>
          </w:p>
        </w:tc>
      </w:tr>
      <w:tr w:rsidRPr="00C43185" w:rsidR="00407099" w:rsidTr="00FD5127" w14:paraId="2F470D31" w14:textId="77777777">
        <w:trPr>
          <w:trHeight w:val="510"/>
        </w:trPr>
        <w:tc>
          <w:tcPr>
            <w:tcW w:w="7650" w:type="dxa"/>
            <w:shd w:val="clear" w:color="auto" w:fill="F2F2F2" w:themeFill="background1" w:themeFillShade="F2"/>
            <w:vAlign w:val="center"/>
          </w:tcPr>
          <w:p w:rsidRPr="00931E2C" w:rsidR="00407099" w:rsidP="001B36EE" w:rsidRDefault="00407099" w14:paraId="7A2439A3" w14:textId="7992ACBB">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The safety of patient care?</w:t>
            </w:r>
          </w:p>
        </w:tc>
        <w:tc>
          <w:tcPr>
            <w:tcW w:w="850" w:type="dxa"/>
            <w:shd w:val="clear" w:color="auto" w:fill="F2F2F2" w:themeFill="background1" w:themeFillShade="F2"/>
          </w:tcPr>
          <w:p w:rsidRPr="00C43185" w:rsidR="00407099" w:rsidP="001B36EE" w:rsidRDefault="00407099" w14:paraId="5AC4142E" w14:textId="77777777">
            <w:pPr>
              <w:rPr>
                <w:rFonts w:ascii="Poppins" w:hAnsi="Poppins" w:eastAsia="Calibri" w:cs="Poppins"/>
                <w:color w:val="A6A6A6" w:themeColor="background1" w:themeShade="A6"/>
              </w:rPr>
            </w:pPr>
          </w:p>
        </w:tc>
      </w:tr>
      <w:tr w:rsidRPr="00C43185" w:rsidR="00407099" w:rsidTr="00FD5127" w14:paraId="7987FA40" w14:textId="77777777">
        <w:trPr>
          <w:trHeight w:val="510"/>
        </w:trPr>
        <w:tc>
          <w:tcPr>
            <w:tcW w:w="7650" w:type="dxa"/>
            <w:shd w:val="clear" w:color="auto" w:fill="F2F2F2" w:themeFill="background1" w:themeFillShade="F2"/>
            <w:vAlign w:val="center"/>
          </w:tcPr>
          <w:p w:rsidRPr="00931E2C" w:rsidR="00407099" w:rsidP="001B36EE" w:rsidRDefault="00407099" w14:paraId="4719ED26" w14:textId="0AF976AD">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A more patient-centred approach?</w:t>
            </w:r>
          </w:p>
        </w:tc>
        <w:tc>
          <w:tcPr>
            <w:tcW w:w="850" w:type="dxa"/>
            <w:shd w:val="clear" w:color="auto" w:fill="F2F2F2" w:themeFill="background1" w:themeFillShade="F2"/>
          </w:tcPr>
          <w:p w:rsidRPr="00C43185" w:rsidR="00407099" w:rsidP="001B36EE" w:rsidRDefault="00407099" w14:paraId="48AB9535" w14:textId="77777777">
            <w:pPr>
              <w:rPr>
                <w:rFonts w:ascii="Poppins" w:hAnsi="Poppins" w:eastAsia="Calibri" w:cs="Poppins"/>
                <w:color w:val="A6A6A6" w:themeColor="background1" w:themeShade="A6"/>
              </w:rPr>
            </w:pPr>
          </w:p>
        </w:tc>
      </w:tr>
      <w:tr w:rsidRPr="00C43185" w:rsidR="00407099" w:rsidTr="00FD5127" w14:paraId="389EAEB8" w14:textId="77777777">
        <w:trPr>
          <w:trHeight w:val="510"/>
        </w:trPr>
        <w:tc>
          <w:tcPr>
            <w:tcW w:w="7650" w:type="dxa"/>
            <w:shd w:val="clear" w:color="auto" w:fill="F2F2F2" w:themeFill="background1" w:themeFillShade="F2"/>
            <w:vAlign w:val="center"/>
          </w:tcPr>
          <w:p w:rsidRPr="00931E2C" w:rsidR="00407099" w:rsidP="001B36EE" w:rsidRDefault="00AB142E" w14:paraId="60D7B9CA" w14:textId="21537643">
            <w:pPr>
              <w:rPr>
                <w:rFonts w:ascii="Poppins" w:hAnsi="Poppins" w:eastAsia="Calibri" w:cs="Poppins"/>
                <w:color w:val="A6A6A6" w:themeColor="background1" w:themeShade="A6"/>
                <w:sz w:val="20"/>
                <w:szCs w:val="20"/>
              </w:rPr>
            </w:pPr>
            <w:r>
              <w:rPr>
                <w:rFonts w:ascii="Poppins" w:hAnsi="Poppins" w:eastAsia="Calibri" w:cs="Poppins"/>
                <w:color w:val="A6A6A6" w:themeColor="background1" w:themeShade="A6"/>
                <w:sz w:val="20"/>
                <w:szCs w:val="20"/>
              </w:rPr>
              <w:t>Health inequalities</w:t>
            </w:r>
            <w:r w:rsidRPr="00931E2C" w:rsidR="00407099">
              <w:rPr>
                <w:rFonts w:ascii="Poppins" w:hAnsi="Poppins" w:eastAsia="Calibri" w:cs="Poppins"/>
                <w:color w:val="A6A6A6" w:themeColor="background1" w:themeShade="A6"/>
                <w:sz w:val="20"/>
                <w:szCs w:val="20"/>
              </w:rPr>
              <w:t xml:space="preserve"> for all potential patients?</w:t>
            </w:r>
          </w:p>
        </w:tc>
        <w:tc>
          <w:tcPr>
            <w:tcW w:w="850" w:type="dxa"/>
            <w:shd w:val="clear" w:color="auto" w:fill="F2F2F2" w:themeFill="background1" w:themeFillShade="F2"/>
          </w:tcPr>
          <w:p w:rsidRPr="00C43185" w:rsidR="00407099" w:rsidP="001B36EE" w:rsidRDefault="00407099" w14:paraId="4EFF70FE" w14:textId="77777777">
            <w:pPr>
              <w:rPr>
                <w:rFonts w:ascii="Poppins" w:hAnsi="Poppins" w:eastAsia="Calibri" w:cs="Poppins"/>
                <w:color w:val="A6A6A6" w:themeColor="background1" w:themeShade="A6"/>
              </w:rPr>
            </w:pPr>
          </w:p>
        </w:tc>
      </w:tr>
      <w:tr w:rsidRPr="00C43185" w:rsidR="00407099" w:rsidTr="00F4711F" w14:paraId="23EDCD20" w14:textId="77777777">
        <w:trPr>
          <w:trHeight w:val="850"/>
        </w:trPr>
        <w:tc>
          <w:tcPr>
            <w:tcW w:w="8500" w:type="dxa"/>
            <w:gridSpan w:val="2"/>
            <w:shd w:val="clear" w:color="auto" w:fill="0096FF"/>
            <w:vAlign w:val="center"/>
          </w:tcPr>
          <w:p w:rsidRPr="00FD5127" w:rsidR="00407099" w:rsidP="001B36EE" w:rsidRDefault="00407099" w14:paraId="52B925D9" w14:textId="3C63ED96">
            <w:pPr>
              <w:rPr>
                <w:rFonts w:ascii="Poppins" w:hAnsi="Poppins" w:eastAsia="Calibri" w:cs="Poppins"/>
                <w:b/>
                <w:bCs/>
                <w:color w:val="FFFFFF" w:themeColor="background1"/>
              </w:rPr>
            </w:pPr>
            <w:r w:rsidRPr="00FD5127">
              <w:rPr>
                <w:rFonts w:ascii="Poppins" w:hAnsi="Poppins" w:eastAsia="Calibri" w:cs="Poppins"/>
                <w:b/>
                <w:bCs/>
                <w:color w:val="FFFFFF" w:themeColor="background1"/>
              </w:rPr>
              <w:t>Itemisation of costs.</w:t>
            </w:r>
            <w:r w:rsidRPr="00FD5127" w:rsidR="00017C92">
              <w:rPr>
                <w:rFonts w:ascii="Poppins" w:hAnsi="Poppins" w:eastAsia="Calibri" w:cs="Poppins"/>
                <w:b/>
                <w:bCs/>
                <w:color w:val="FFFFFF" w:themeColor="background1"/>
              </w:rPr>
              <w:t xml:space="preserve"> </w:t>
            </w:r>
            <w:r w:rsidRPr="00FD5127">
              <w:rPr>
                <w:rFonts w:ascii="Poppins" w:hAnsi="Poppins" w:eastAsia="Calibri" w:cs="Poppins"/>
                <w:color w:val="FFFFFF" w:themeColor="background1"/>
              </w:rPr>
              <w:t>Have you provided anticipated setup costs and included details on:</w:t>
            </w:r>
          </w:p>
        </w:tc>
      </w:tr>
      <w:tr w:rsidRPr="00C43185" w:rsidR="00407099" w:rsidTr="00FD5127" w14:paraId="68A10E4F" w14:textId="77777777">
        <w:trPr>
          <w:trHeight w:val="510"/>
        </w:trPr>
        <w:tc>
          <w:tcPr>
            <w:tcW w:w="7650" w:type="dxa"/>
            <w:shd w:val="clear" w:color="auto" w:fill="F2F2F2" w:themeFill="background1" w:themeFillShade="F2"/>
            <w:vAlign w:val="center"/>
          </w:tcPr>
          <w:p w:rsidRPr="00931E2C" w:rsidR="00407099" w:rsidP="001B36EE" w:rsidRDefault="00407099" w14:paraId="1EB20325" w14:textId="4582030B">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Dedicated time to lead and implement the service?</w:t>
            </w:r>
          </w:p>
        </w:tc>
        <w:tc>
          <w:tcPr>
            <w:tcW w:w="850" w:type="dxa"/>
            <w:shd w:val="clear" w:color="auto" w:fill="F2F2F2" w:themeFill="background1" w:themeFillShade="F2"/>
          </w:tcPr>
          <w:p w:rsidRPr="00C43185" w:rsidR="00407099" w:rsidP="001B36EE" w:rsidRDefault="00407099" w14:paraId="2E2F5372" w14:textId="77777777">
            <w:pPr>
              <w:rPr>
                <w:rFonts w:ascii="Poppins" w:hAnsi="Poppins" w:eastAsia="Calibri" w:cs="Poppins"/>
                <w:color w:val="A6A6A6" w:themeColor="background1" w:themeShade="A6"/>
              </w:rPr>
            </w:pPr>
          </w:p>
        </w:tc>
      </w:tr>
      <w:tr w:rsidRPr="00C43185" w:rsidR="00407099" w:rsidTr="00FD5127" w14:paraId="2DAB9719" w14:textId="77777777">
        <w:trPr>
          <w:trHeight w:val="510"/>
        </w:trPr>
        <w:tc>
          <w:tcPr>
            <w:tcW w:w="7650" w:type="dxa"/>
            <w:shd w:val="clear" w:color="auto" w:fill="F2F2F2" w:themeFill="background1" w:themeFillShade="F2"/>
            <w:vAlign w:val="center"/>
          </w:tcPr>
          <w:p w:rsidRPr="00931E2C" w:rsidR="00407099" w:rsidP="001B36EE" w:rsidRDefault="00407099" w14:paraId="40AF3D60" w14:textId="27BB8B39">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Clinical and administrative staff costs?</w:t>
            </w:r>
          </w:p>
        </w:tc>
        <w:tc>
          <w:tcPr>
            <w:tcW w:w="850" w:type="dxa"/>
            <w:shd w:val="clear" w:color="auto" w:fill="F2F2F2" w:themeFill="background1" w:themeFillShade="F2"/>
          </w:tcPr>
          <w:p w:rsidRPr="00C43185" w:rsidR="00407099" w:rsidP="001B36EE" w:rsidRDefault="00407099" w14:paraId="1DD273A7" w14:textId="77777777">
            <w:pPr>
              <w:rPr>
                <w:rFonts w:ascii="Poppins" w:hAnsi="Poppins" w:eastAsia="Calibri" w:cs="Poppins"/>
                <w:color w:val="A6A6A6" w:themeColor="background1" w:themeShade="A6"/>
              </w:rPr>
            </w:pPr>
          </w:p>
        </w:tc>
      </w:tr>
      <w:tr w:rsidRPr="00C43185" w:rsidR="00407099" w:rsidTr="00FD5127" w14:paraId="212A43D9" w14:textId="77777777">
        <w:trPr>
          <w:trHeight w:val="510"/>
        </w:trPr>
        <w:tc>
          <w:tcPr>
            <w:tcW w:w="7650" w:type="dxa"/>
            <w:shd w:val="clear" w:color="auto" w:fill="F2F2F2" w:themeFill="background1" w:themeFillShade="F2"/>
            <w:vAlign w:val="center"/>
          </w:tcPr>
          <w:p w:rsidRPr="00931E2C" w:rsidR="00407099" w:rsidP="001B36EE" w:rsidRDefault="00407099" w14:paraId="2B4274BC" w14:textId="60D8D575">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Estates and equipment?</w:t>
            </w:r>
          </w:p>
        </w:tc>
        <w:tc>
          <w:tcPr>
            <w:tcW w:w="850" w:type="dxa"/>
            <w:shd w:val="clear" w:color="auto" w:fill="F2F2F2" w:themeFill="background1" w:themeFillShade="F2"/>
          </w:tcPr>
          <w:p w:rsidRPr="00C43185" w:rsidR="00407099" w:rsidP="001B36EE" w:rsidRDefault="00407099" w14:paraId="2F852006" w14:textId="77777777">
            <w:pPr>
              <w:rPr>
                <w:rFonts w:ascii="Poppins" w:hAnsi="Poppins" w:eastAsia="Calibri" w:cs="Poppins"/>
                <w:color w:val="A6A6A6" w:themeColor="background1" w:themeShade="A6"/>
              </w:rPr>
            </w:pPr>
          </w:p>
        </w:tc>
      </w:tr>
      <w:tr w:rsidRPr="00C43185" w:rsidR="00407099" w:rsidTr="00FD5127" w14:paraId="50978A93" w14:textId="77777777">
        <w:trPr>
          <w:trHeight w:val="510"/>
        </w:trPr>
        <w:tc>
          <w:tcPr>
            <w:tcW w:w="7650" w:type="dxa"/>
            <w:shd w:val="clear" w:color="auto" w:fill="F2F2F2" w:themeFill="background1" w:themeFillShade="F2"/>
            <w:vAlign w:val="center"/>
          </w:tcPr>
          <w:p w:rsidRPr="00931E2C" w:rsidR="00407099" w:rsidP="001B36EE" w:rsidRDefault="00407099" w14:paraId="1F0E3789" w14:textId="7981DBD7">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Homecare provision (if applicable)?</w:t>
            </w:r>
          </w:p>
        </w:tc>
        <w:tc>
          <w:tcPr>
            <w:tcW w:w="850" w:type="dxa"/>
            <w:shd w:val="clear" w:color="auto" w:fill="F2F2F2" w:themeFill="background1" w:themeFillShade="F2"/>
          </w:tcPr>
          <w:p w:rsidRPr="00C43185" w:rsidR="00407099" w:rsidP="001B36EE" w:rsidRDefault="00407099" w14:paraId="7F7542FB" w14:textId="77777777">
            <w:pPr>
              <w:rPr>
                <w:rFonts w:ascii="Poppins" w:hAnsi="Poppins" w:eastAsia="Calibri" w:cs="Poppins"/>
                <w:color w:val="A6A6A6" w:themeColor="background1" w:themeShade="A6"/>
              </w:rPr>
            </w:pPr>
          </w:p>
        </w:tc>
      </w:tr>
      <w:tr w:rsidRPr="00C43185" w:rsidR="00407099" w:rsidTr="00FD5127" w14:paraId="78DB1EA7" w14:textId="77777777">
        <w:trPr>
          <w:trHeight w:val="510"/>
        </w:trPr>
        <w:tc>
          <w:tcPr>
            <w:tcW w:w="7650" w:type="dxa"/>
            <w:shd w:val="clear" w:color="auto" w:fill="F2F2F2" w:themeFill="background1" w:themeFillShade="F2"/>
            <w:vAlign w:val="center"/>
          </w:tcPr>
          <w:p w:rsidRPr="00931E2C" w:rsidR="00407099" w:rsidP="001B36EE" w:rsidRDefault="00407099" w14:paraId="0E07F5DD" w14:textId="05DBCE5B">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Medicines</w:t>
            </w:r>
          </w:p>
        </w:tc>
        <w:tc>
          <w:tcPr>
            <w:tcW w:w="850" w:type="dxa"/>
            <w:shd w:val="clear" w:color="auto" w:fill="F2F2F2" w:themeFill="background1" w:themeFillShade="F2"/>
          </w:tcPr>
          <w:p w:rsidRPr="00C43185" w:rsidR="00407099" w:rsidP="001B36EE" w:rsidRDefault="00407099" w14:paraId="626FDF6C" w14:textId="77777777">
            <w:pPr>
              <w:rPr>
                <w:rFonts w:ascii="Poppins" w:hAnsi="Poppins" w:eastAsia="Calibri" w:cs="Poppins"/>
                <w:color w:val="A6A6A6" w:themeColor="background1" w:themeShade="A6"/>
              </w:rPr>
            </w:pPr>
          </w:p>
        </w:tc>
      </w:tr>
      <w:tr w:rsidRPr="00C43185" w:rsidR="00407099" w:rsidTr="00FD5127" w14:paraId="4E9787CC" w14:textId="77777777">
        <w:trPr>
          <w:trHeight w:val="510"/>
        </w:trPr>
        <w:tc>
          <w:tcPr>
            <w:tcW w:w="7650" w:type="dxa"/>
            <w:shd w:val="clear" w:color="auto" w:fill="F2F2F2" w:themeFill="background1" w:themeFillShade="F2"/>
            <w:vAlign w:val="center"/>
          </w:tcPr>
          <w:p w:rsidRPr="00931E2C" w:rsidR="00407099" w:rsidP="001B36EE" w:rsidRDefault="00407099" w14:paraId="5D7FC1FF" w14:textId="5C88274A">
            <w:pPr>
              <w:rPr>
                <w:rFonts w:ascii="Poppins" w:hAnsi="Poppins" w:eastAsia="Calibri" w:cs="Poppins"/>
                <w:color w:val="A6A6A6" w:themeColor="background1" w:themeShade="A6"/>
                <w:sz w:val="20"/>
                <w:szCs w:val="20"/>
              </w:rPr>
            </w:pPr>
            <w:r w:rsidRPr="00931E2C">
              <w:rPr>
                <w:rFonts w:ascii="Poppins" w:hAnsi="Poppins" w:eastAsia="Calibri" w:cs="Poppins"/>
                <w:color w:val="A6A6A6" w:themeColor="background1" w:themeShade="A6"/>
                <w:sz w:val="20"/>
                <w:szCs w:val="20"/>
              </w:rPr>
              <w:t>Monitoring</w:t>
            </w:r>
          </w:p>
        </w:tc>
        <w:tc>
          <w:tcPr>
            <w:tcW w:w="850" w:type="dxa"/>
            <w:shd w:val="clear" w:color="auto" w:fill="F2F2F2" w:themeFill="background1" w:themeFillShade="F2"/>
          </w:tcPr>
          <w:p w:rsidRPr="00C43185" w:rsidR="00407099" w:rsidP="001B36EE" w:rsidRDefault="00407099" w14:paraId="09424681" w14:textId="77777777">
            <w:pPr>
              <w:rPr>
                <w:rFonts w:ascii="Poppins" w:hAnsi="Poppins" w:eastAsia="Calibri" w:cs="Poppins"/>
                <w:color w:val="A6A6A6" w:themeColor="background1" w:themeShade="A6"/>
              </w:rPr>
            </w:pPr>
          </w:p>
        </w:tc>
      </w:tr>
    </w:tbl>
    <w:p w:rsidRPr="00C43185" w:rsidR="00577143" w:rsidP="001B36EE" w:rsidRDefault="00577143" w14:paraId="3DC4D71D" w14:textId="77777777">
      <w:pPr>
        <w:spacing w:line="240" w:lineRule="auto"/>
        <w:rPr>
          <w:rFonts w:ascii="Poppins" w:hAnsi="Poppins" w:eastAsia="Calibri" w:cs="Poppins"/>
          <w:color w:val="A6A6A6" w:themeColor="background1" w:themeShade="A6"/>
        </w:rPr>
      </w:pPr>
    </w:p>
    <w:p w:rsidR="000E4452" w:rsidP="001B36EE" w:rsidRDefault="000E4452" w14:paraId="2AEA483A" w14:textId="030898F7">
      <w:pPr>
        <w:spacing w:line="240" w:lineRule="auto"/>
        <w:rPr>
          <w:rFonts w:ascii="Poppins" w:hAnsi="Poppins" w:cs="Poppins"/>
          <w:color w:val="0023C8"/>
        </w:rPr>
      </w:pPr>
    </w:p>
    <w:p w:rsidRPr="00931E2C" w:rsidR="00183369" w:rsidP="001B36EE" w:rsidRDefault="004E73B4" w14:paraId="7E02C505" w14:textId="49D5D21C">
      <w:pPr>
        <w:pStyle w:val="Heading1"/>
        <w:spacing w:line="240" w:lineRule="auto"/>
        <w:rPr>
          <w:rFonts w:ascii="Poppins" w:hAnsi="Poppins" w:cs="Poppins"/>
          <w:color w:val="0023C8"/>
        </w:rPr>
      </w:pPr>
      <w:bookmarkStart w:name="_Appendix_1._RACI" w:id="36"/>
      <w:bookmarkStart w:name="_Toc229391551" w:id="37"/>
      <w:bookmarkEnd w:id="36"/>
      <w:r w:rsidRPr="00931E2C">
        <w:rPr>
          <w:rFonts w:ascii="Poppins" w:hAnsi="Poppins" w:cs="Poppins"/>
          <w:color w:val="0023C8"/>
        </w:rPr>
        <w:t>Appendix 1.</w:t>
      </w:r>
      <w:r w:rsidRPr="00931E2C" w:rsidR="004045DA">
        <w:rPr>
          <w:rFonts w:ascii="Poppins" w:hAnsi="Poppins" w:cs="Poppins"/>
          <w:color w:val="0023C8"/>
        </w:rPr>
        <w:t xml:space="preserve"> RACI </w:t>
      </w:r>
      <w:r w:rsidRPr="00931E2C" w:rsidR="000807AF">
        <w:rPr>
          <w:rFonts w:ascii="Poppins" w:hAnsi="Poppins" w:cs="Poppins"/>
          <w:color w:val="0023C8"/>
        </w:rPr>
        <w:t>in relation to</w:t>
      </w:r>
      <w:r w:rsidRPr="00931E2C" w:rsidR="004045DA">
        <w:rPr>
          <w:rFonts w:ascii="Poppins" w:hAnsi="Poppins" w:cs="Poppins"/>
          <w:color w:val="0023C8"/>
        </w:rPr>
        <w:t xml:space="preserve"> </w:t>
      </w:r>
      <w:r w:rsidRPr="005072F7" w:rsidR="004045DA">
        <w:rPr>
          <w:rFonts w:ascii="Poppins" w:hAnsi="Poppins" w:cs="Poppins"/>
          <w:color w:val="0023C8"/>
        </w:rPr>
        <w:t>stakeholder</w:t>
      </w:r>
      <w:r w:rsidRPr="005072F7" w:rsidR="000807AF">
        <w:rPr>
          <w:rFonts w:ascii="Poppins" w:hAnsi="Poppins" w:cs="Poppins"/>
          <w:color w:val="0023C8"/>
        </w:rPr>
        <w:t>s</w:t>
      </w:r>
      <w:bookmarkEnd w:id="37"/>
    </w:p>
    <w:p w:rsidRPr="000E4452" w:rsidR="004E73B4" w:rsidP="001B36EE" w:rsidRDefault="004E73B4" w14:paraId="33E82600" w14:textId="14A83D57">
      <w:pPr>
        <w:spacing w:line="240" w:lineRule="auto"/>
        <w:rPr>
          <w:rFonts w:ascii="Poppins" w:hAnsi="Poppins" w:eastAsia="Times New Roman" w:cs="Poppins"/>
          <w:bCs/>
          <w:sz w:val="20"/>
          <w:szCs w:val="20"/>
        </w:rPr>
      </w:pPr>
      <w:r w:rsidRPr="000E4452">
        <w:rPr>
          <w:rFonts w:ascii="Poppins" w:hAnsi="Poppins" w:eastAsia="Times New Roman" w:cs="Poppins"/>
          <w:bCs/>
          <w:sz w:val="20"/>
          <w:szCs w:val="20"/>
        </w:rPr>
        <w:t xml:space="preserve">The acronym RACI is a widely used responsibility assignment matrix to </w:t>
      </w:r>
      <w:r w:rsidRPr="000E4452">
        <w:rPr>
          <w:rFonts w:ascii="Poppins" w:hAnsi="Poppins" w:eastAsia="Times New Roman" w:cs="Poppins"/>
          <w:sz w:val="20"/>
          <w:szCs w:val="20"/>
        </w:rPr>
        <w:t>define clear roles</w:t>
      </w:r>
      <w:r w:rsidRPr="000E4452">
        <w:rPr>
          <w:rFonts w:ascii="Poppins" w:hAnsi="Poppins" w:eastAsia="Times New Roman" w:cs="Poppins"/>
          <w:bCs/>
          <w:sz w:val="20"/>
          <w:szCs w:val="20"/>
        </w:rPr>
        <w:t xml:space="preserve"> and responsibilities within projects or processes, prevent overlap, and ensure accountability.</w:t>
      </w:r>
    </w:p>
    <w:p w:rsidRPr="000E4452" w:rsidR="004E73B4" w:rsidP="001B36EE" w:rsidRDefault="004E73B4" w14:paraId="3E9B61CB" w14:textId="1618C2CF">
      <w:pPr>
        <w:spacing w:line="240" w:lineRule="auto"/>
        <w:rPr>
          <w:rFonts w:ascii="Poppins" w:hAnsi="Poppins" w:eastAsia="Times New Roman" w:cs="Poppins"/>
          <w:bCs/>
          <w:sz w:val="20"/>
          <w:szCs w:val="20"/>
        </w:rPr>
      </w:pPr>
      <w:r w:rsidRPr="000E4452">
        <w:rPr>
          <w:rFonts w:ascii="Poppins" w:hAnsi="Poppins" w:eastAsia="Times New Roman" w:cs="Poppins"/>
          <w:bCs/>
          <w:sz w:val="20"/>
          <w:szCs w:val="20"/>
        </w:rPr>
        <w:t>See below for an explanation of what each component means:</w:t>
      </w:r>
    </w:p>
    <w:p w:rsidRPr="00913708" w:rsidR="004E73B4" w:rsidP="001B36EE" w:rsidRDefault="004E73B4" w14:paraId="6A037DB6" w14:textId="77777777">
      <w:pPr>
        <w:numPr>
          <w:ilvl w:val="0"/>
          <w:numId w:val="12"/>
        </w:numPr>
        <w:spacing w:after="0" w:line="240" w:lineRule="auto"/>
        <w:ind w:left="360"/>
        <w:rPr>
          <w:rFonts w:ascii="Poppins" w:hAnsi="Poppins" w:eastAsia="Times New Roman" w:cs="Poppins"/>
          <w:b/>
          <w:color w:val="0096FF"/>
          <w:sz w:val="24"/>
          <w:szCs w:val="24"/>
        </w:rPr>
      </w:pPr>
      <w:r w:rsidRPr="00913708">
        <w:rPr>
          <w:rFonts w:ascii="Poppins" w:hAnsi="Poppins" w:eastAsia="Times New Roman" w:cs="Poppins"/>
          <w:b/>
          <w:color w:val="0096FF"/>
          <w:sz w:val="24"/>
          <w:szCs w:val="24"/>
        </w:rPr>
        <w:t>Responsible</w:t>
      </w:r>
    </w:p>
    <w:p w:rsidRPr="000E4452" w:rsidR="004045DA" w:rsidP="001B36EE" w:rsidRDefault="004E73B4" w14:paraId="586592C5" w14:textId="77777777">
      <w:pPr>
        <w:numPr>
          <w:ilvl w:val="1"/>
          <w:numId w:val="46"/>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These are the individuals or teams who do the work to complete a task or deliverable</w:t>
      </w:r>
      <w:r w:rsidRPr="000E4452" w:rsidR="004045DA">
        <w:rPr>
          <w:rFonts w:ascii="Poppins" w:hAnsi="Poppins" w:eastAsia="Times New Roman" w:cs="Poppins"/>
          <w:bCs/>
          <w:sz w:val="20"/>
          <w:szCs w:val="20"/>
        </w:rPr>
        <w:t xml:space="preserve"> </w:t>
      </w:r>
    </w:p>
    <w:p w:rsidRPr="000E4452" w:rsidR="004E73B4" w:rsidP="001B36EE" w:rsidRDefault="004E73B4" w14:paraId="0607EFC2" w14:textId="4BBC6D60">
      <w:pPr>
        <w:numPr>
          <w:ilvl w:val="1"/>
          <w:numId w:val="46"/>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They are directly involved in execution and implementation</w:t>
      </w:r>
    </w:p>
    <w:p w:rsidR="004E73B4" w:rsidP="001B36EE" w:rsidRDefault="004E73B4" w14:paraId="79859B59" w14:textId="16BCE59A">
      <w:pPr>
        <w:numPr>
          <w:ilvl w:val="1"/>
          <w:numId w:val="46"/>
        </w:numPr>
        <w:spacing w:after="6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There can be multiple people responsible for a single task</w:t>
      </w:r>
    </w:p>
    <w:p w:rsidRPr="001376B9" w:rsidR="003974BA" w:rsidP="001B36EE" w:rsidRDefault="003974BA" w14:paraId="02275453" w14:textId="3A1DD63A">
      <w:pPr>
        <w:spacing w:after="240" w:line="240" w:lineRule="auto"/>
        <w:rPr>
          <w:rFonts w:ascii="Poppins" w:hAnsi="Poppins" w:eastAsia="Times New Roman" w:cs="Poppins"/>
          <w:b/>
          <w:sz w:val="20"/>
          <w:szCs w:val="20"/>
        </w:rPr>
      </w:pPr>
      <w:r>
        <w:rPr>
          <w:rFonts w:ascii="Poppins" w:hAnsi="Poppins" w:eastAsia="Times New Roman" w:cs="Poppins"/>
          <w:bCs/>
          <w:sz w:val="20"/>
          <w:szCs w:val="20"/>
        </w:rPr>
        <w:t xml:space="preserve">Examples may </w:t>
      </w:r>
      <w:proofErr w:type="gramStart"/>
      <w:r>
        <w:rPr>
          <w:rFonts w:ascii="Poppins" w:hAnsi="Poppins" w:eastAsia="Times New Roman" w:cs="Poppins"/>
          <w:bCs/>
          <w:sz w:val="20"/>
          <w:szCs w:val="20"/>
        </w:rPr>
        <w:t>include:</w:t>
      </w:r>
      <w:proofErr w:type="gramEnd"/>
      <w:r>
        <w:rPr>
          <w:rFonts w:ascii="Poppins" w:hAnsi="Poppins" w:eastAsia="Times New Roman" w:cs="Poppins"/>
          <w:bCs/>
          <w:sz w:val="20"/>
          <w:szCs w:val="20"/>
        </w:rPr>
        <w:t xml:space="preserve"> </w:t>
      </w:r>
      <w:r w:rsidRPr="001376B9">
        <w:rPr>
          <w:rFonts w:ascii="Poppins" w:hAnsi="Poppins" w:eastAsia="Times New Roman" w:cs="Poppins"/>
          <w:b/>
          <w:sz w:val="20"/>
          <w:szCs w:val="20"/>
        </w:rPr>
        <w:t>diabetes/endocrine lead clinician, diabetes specialist nurses, diabetes specialist pharmacist and other members of pharmacy team, pathology lead, infusion service lead</w:t>
      </w:r>
    </w:p>
    <w:p w:rsidRPr="00913708" w:rsidR="004E73B4" w:rsidP="001B36EE" w:rsidRDefault="004E73B4" w14:paraId="15A5962D" w14:textId="77777777">
      <w:pPr>
        <w:numPr>
          <w:ilvl w:val="0"/>
          <w:numId w:val="12"/>
        </w:numPr>
        <w:spacing w:after="0" w:line="240" w:lineRule="auto"/>
        <w:ind w:left="360"/>
        <w:rPr>
          <w:rFonts w:ascii="Poppins" w:hAnsi="Poppins" w:eastAsia="Times New Roman" w:cs="Poppins"/>
          <w:b/>
          <w:color w:val="0096FF"/>
          <w:sz w:val="24"/>
          <w:szCs w:val="24"/>
        </w:rPr>
      </w:pPr>
      <w:r w:rsidRPr="00913708">
        <w:rPr>
          <w:rFonts w:ascii="Poppins" w:hAnsi="Poppins" w:eastAsia="Times New Roman" w:cs="Poppins"/>
          <w:b/>
          <w:color w:val="0096FF"/>
          <w:sz w:val="24"/>
          <w:szCs w:val="24"/>
        </w:rPr>
        <w:t>Accountable</w:t>
      </w:r>
    </w:p>
    <w:p w:rsidRPr="000E4452" w:rsidR="004E73B4" w:rsidP="001B36EE" w:rsidRDefault="004E73B4" w14:paraId="0C7F051B" w14:textId="67C103BC">
      <w:pPr>
        <w:numPr>
          <w:ilvl w:val="1"/>
          <w:numId w:val="47"/>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This is the person who is ultimately answerable for the correct and thorough completion of the task</w:t>
      </w:r>
    </w:p>
    <w:p w:rsidRPr="000E4452" w:rsidR="004E73B4" w:rsidP="001B36EE" w:rsidRDefault="004E73B4" w14:paraId="7FF39E98" w14:textId="72B92560">
      <w:pPr>
        <w:numPr>
          <w:ilvl w:val="1"/>
          <w:numId w:val="47"/>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They ensure the work meets requirements and deadlines</w:t>
      </w:r>
    </w:p>
    <w:p w:rsidR="004E73B4" w:rsidP="001B36EE" w:rsidRDefault="004E73B4" w14:paraId="4018197E" w14:textId="43DBCB29">
      <w:pPr>
        <w:numPr>
          <w:ilvl w:val="1"/>
          <w:numId w:val="47"/>
        </w:numPr>
        <w:spacing w:after="6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There should only be one accountable person per task to avoid confusion</w:t>
      </w:r>
    </w:p>
    <w:p w:rsidRPr="000E4452" w:rsidR="003974BA" w:rsidP="001B36EE" w:rsidRDefault="003974BA" w14:paraId="781A969B" w14:textId="33ACFA35">
      <w:pPr>
        <w:spacing w:after="240" w:line="240" w:lineRule="auto"/>
        <w:rPr>
          <w:rFonts w:ascii="Poppins" w:hAnsi="Poppins" w:eastAsia="Times New Roman" w:cs="Poppins"/>
          <w:bCs/>
          <w:sz w:val="20"/>
          <w:szCs w:val="20"/>
        </w:rPr>
      </w:pPr>
      <w:r>
        <w:rPr>
          <w:rFonts w:ascii="Poppins" w:hAnsi="Poppins" w:eastAsia="Times New Roman" w:cs="Poppins"/>
          <w:bCs/>
          <w:sz w:val="20"/>
          <w:szCs w:val="20"/>
        </w:rPr>
        <w:t xml:space="preserve">This is anticipated to be the </w:t>
      </w:r>
      <w:r w:rsidRPr="001376B9">
        <w:rPr>
          <w:rFonts w:ascii="Poppins" w:hAnsi="Poppins" w:eastAsia="Times New Roman" w:cs="Poppins"/>
          <w:b/>
          <w:sz w:val="20"/>
          <w:szCs w:val="20"/>
        </w:rPr>
        <w:t>diabetes/endocrine lead clinician</w:t>
      </w:r>
    </w:p>
    <w:p w:rsidRPr="00913708" w:rsidR="004E73B4" w:rsidP="001B36EE" w:rsidRDefault="004E73B4" w14:paraId="7796BC61" w14:textId="77777777">
      <w:pPr>
        <w:numPr>
          <w:ilvl w:val="0"/>
          <w:numId w:val="12"/>
        </w:numPr>
        <w:spacing w:after="0" w:line="240" w:lineRule="auto"/>
        <w:ind w:left="360"/>
        <w:rPr>
          <w:rFonts w:ascii="Poppins" w:hAnsi="Poppins" w:eastAsia="Times New Roman" w:cs="Poppins"/>
          <w:b/>
          <w:color w:val="0096FF"/>
          <w:sz w:val="24"/>
          <w:szCs w:val="24"/>
        </w:rPr>
      </w:pPr>
      <w:r w:rsidRPr="00913708">
        <w:rPr>
          <w:rFonts w:ascii="Poppins" w:hAnsi="Poppins" w:eastAsia="Times New Roman" w:cs="Poppins"/>
          <w:b/>
          <w:color w:val="0096FF"/>
          <w:sz w:val="24"/>
          <w:szCs w:val="24"/>
        </w:rPr>
        <w:t>Consulted</w:t>
      </w:r>
    </w:p>
    <w:p w:rsidRPr="000E4452" w:rsidR="004E73B4" w:rsidP="001B36EE" w:rsidRDefault="004E73B4" w14:paraId="6CC5CB9F" w14:textId="620DC453">
      <w:pPr>
        <w:numPr>
          <w:ilvl w:val="1"/>
          <w:numId w:val="47"/>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These are the people whose opinions and expertise are sought during the task</w:t>
      </w:r>
    </w:p>
    <w:p w:rsidRPr="000E4452" w:rsidR="004E73B4" w:rsidP="001B36EE" w:rsidRDefault="004E73B4" w14:paraId="7B2192A9" w14:textId="45319B97">
      <w:pPr>
        <w:numPr>
          <w:ilvl w:val="1"/>
          <w:numId w:val="47"/>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Communication is two-way: they provide input and feedback</w:t>
      </w:r>
    </w:p>
    <w:p w:rsidR="004E73B4" w:rsidP="001B36EE" w:rsidRDefault="004E73B4" w14:paraId="52045FFE" w14:textId="1B2AB7DD">
      <w:pPr>
        <w:numPr>
          <w:ilvl w:val="1"/>
          <w:numId w:val="47"/>
        </w:numPr>
        <w:spacing w:after="60" w:line="240" w:lineRule="auto"/>
        <w:ind w:left="357" w:hanging="357"/>
        <w:rPr>
          <w:rFonts w:ascii="Poppins" w:hAnsi="Poppins" w:eastAsia="Times New Roman" w:cs="Poppins"/>
          <w:bCs/>
          <w:sz w:val="20"/>
          <w:szCs w:val="20"/>
        </w:rPr>
      </w:pPr>
      <w:proofErr w:type="gramStart"/>
      <w:r w:rsidRPr="000E4452">
        <w:rPr>
          <w:rFonts w:ascii="Poppins" w:hAnsi="Poppins" w:eastAsia="Times New Roman" w:cs="Poppins"/>
          <w:bCs/>
          <w:sz w:val="20"/>
          <w:szCs w:val="20"/>
        </w:rPr>
        <w:t>Typically</w:t>
      </w:r>
      <w:proofErr w:type="gramEnd"/>
      <w:r w:rsidRPr="000E4452">
        <w:rPr>
          <w:rFonts w:ascii="Poppins" w:hAnsi="Poppins" w:eastAsia="Times New Roman" w:cs="Poppins"/>
          <w:bCs/>
          <w:sz w:val="20"/>
          <w:szCs w:val="20"/>
        </w:rPr>
        <w:t xml:space="preserve"> subject matter experts or stakeholders</w:t>
      </w:r>
    </w:p>
    <w:p w:rsidRPr="001376B9" w:rsidR="003974BA" w:rsidP="001B36EE" w:rsidRDefault="003974BA" w14:paraId="5339C960" w14:textId="405C8271">
      <w:pPr>
        <w:spacing w:after="240" w:line="240" w:lineRule="auto"/>
        <w:rPr>
          <w:rFonts w:ascii="Poppins" w:hAnsi="Poppins" w:eastAsia="Times New Roman" w:cs="Poppins"/>
          <w:b/>
          <w:sz w:val="20"/>
          <w:szCs w:val="20"/>
        </w:rPr>
      </w:pPr>
      <w:r>
        <w:rPr>
          <w:rFonts w:ascii="Poppins" w:hAnsi="Poppins" w:eastAsia="Times New Roman" w:cs="Poppins"/>
          <w:bCs/>
          <w:sz w:val="20"/>
          <w:szCs w:val="20"/>
        </w:rPr>
        <w:t xml:space="preserve">Examples </w:t>
      </w:r>
      <w:proofErr w:type="gramStart"/>
      <w:r>
        <w:rPr>
          <w:rFonts w:ascii="Poppins" w:hAnsi="Poppins" w:eastAsia="Times New Roman" w:cs="Poppins"/>
          <w:bCs/>
          <w:sz w:val="20"/>
          <w:szCs w:val="20"/>
        </w:rPr>
        <w:t>include:</w:t>
      </w:r>
      <w:proofErr w:type="gramEnd"/>
      <w:r>
        <w:rPr>
          <w:rFonts w:ascii="Poppins" w:hAnsi="Poppins" w:eastAsia="Times New Roman" w:cs="Poppins"/>
          <w:bCs/>
          <w:sz w:val="20"/>
          <w:szCs w:val="20"/>
        </w:rPr>
        <w:t xml:space="preserve"> </w:t>
      </w:r>
      <w:r w:rsidRPr="001376B9" w:rsidR="00817466">
        <w:rPr>
          <w:rFonts w:ascii="Poppins" w:hAnsi="Poppins" w:eastAsia="Times New Roman" w:cs="Poppins"/>
          <w:b/>
          <w:sz w:val="20"/>
          <w:szCs w:val="20"/>
        </w:rPr>
        <w:t>General medicine lead, out-of-hours and emergency department leads, formulary committee chairs, ICB medicines lead, PCN leads, Trust finance and governance leads</w:t>
      </w:r>
    </w:p>
    <w:p w:rsidRPr="00913708" w:rsidR="004E73B4" w:rsidP="001B36EE" w:rsidRDefault="004E73B4" w14:paraId="0CE38432" w14:textId="77777777">
      <w:pPr>
        <w:numPr>
          <w:ilvl w:val="0"/>
          <w:numId w:val="12"/>
        </w:numPr>
        <w:spacing w:after="0" w:line="240" w:lineRule="auto"/>
        <w:ind w:left="360"/>
        <w:rPr>
          <w:rFonts w:ascii="Poppins" w:hAnsi="Poppins" w:eastAsia="Times New Roman" w:cs="Poppins"/>
          <w:b/>
          <w:color w:val="0096FF"/>
          <w:sz w:val="24"/>
          <w:szCs w:val="24"/>
        </w:rPr>
      </w:pPr>
      <w:r w:rsidRPr="00913708">
        <w:rPr>
          <w:rFonts w:ascii="Poppins" w:hAnsi="Poppins" w:eastAsia="Times New Roman" w:cs="Poppins"/>
          <w:b/>
          <w:color w:val="0096FF"/>
          <w:sz w:val="24"/>
          <w:szCs w:val="24"/>
        </w:rPr>
        <w:t>Informed</w:t>
      </w:r>
    </w:p>
    <w:p w:rsidRPr="000E4452" w:rsidR="004E73B4" w:rsidP="001B36EE" w:rsidRDefault="004E73B4" w14:paraId="0F531B61" w14:textId="50DC621D">
      <w:pPr>
        <w:numPr>
          <w:ilvl w:val="1"/>
          <w:numId w:val="47"/>
        </w:numPr>
        <w:spacing w:after="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These individuals need to be kept up to date on progress and decisions</w:t>
      </w:r>
    </w:p>
    <w:p w:rsidRPr="00DD016B" w:rsidR="00817466" w:rsidP="001B36EE" w:rsidRDefault="004E73B4" w14:paraId="701AC4F9" w14:textId="66609D7C">
      <w:pPr>
        <w:numPr>
          <w:ilvl w:val="1"/>
          <w:numId w:val="47"/>
        </w:numPr>
        <w:spacing w:after="60" w:line="240" w:lineRule="auto"/>
        <w:ind w:left="357" w:hanging="357"/>
        <w:rPr>
          <w:rFonts w:ascii="Poppins" w:hAnsi="Poppins" w:eastAsia="Times New Roman" w:cs="Poppins"/>
          <w:bCs/>
          <w:sz w:val="20"/>
          <w:szCs w:val="20"/>
        </w:rPr>
      </w:pPr>
      <w:r w:rsidRPr="000E4452">
        <w:rPr>
          <w:rFonts w:ascii="Poppins" w:hAnsi="Poppins" w:eastAsia="Times New Roman" w:cs="Poppins"/>
          <w:bCs/>
          <w:sz w:val="20"/>
          <w:szCs w:val="20"/>
        </w:rPr>
        <w:t>Communication is one-way: they receive updates but are not actively involved in the work</w:t>
      </w:r>
    </w:p>
    <w:p w:rsidRPr="00817466" w:rsidR="00817466" w:rsidP="001B36EE" w:rsidRDefault="00817466" w14:paraId="75367978" w14:textId="2FC5E045">
      <w:pPr>
        <w:spacing w:after="0" w:line="240" w:lineRule="auto"/>
        <w:rPr>
          <w:rFonts w:ascii="Poppins" w:hAnsi="Poppins" w:eastAsia="Times New Roman" w:cs="Poppins"/>
          <w:bCs/>
          <w:sz w:val="20"/>
          <w:szCs w:val="20"/>
        </w:rPr>
      </w:pPr>
      <w:r w:rsidRPr="00817466">
        <w:rPr>
          <w:rFonts w:ascii="Poppins" w:hAnsi="Poppins" w:eastAsia="Times New Roman" w:cs="Poppins"/>
          <w:bCs/>
          <w:sz w:val="20"/>
          <w:szCs w:val="20"/>
        </w:rPr>
        <w:t xml:space="preserve">Examples </w:t>
      </w:r>
      <w:proofErr w:type="gramStart"/>
      <w:r w:rsidRPr="00817466">
        <w:rPr>
          <w:rFonts w:ascii="Poppins" w:hAnsi="Poppins" w:eastAsia="Times New Roman" w:cs="Poppins"/>
          <w:bCs/>
          <w:sz w:val="20"/>
          <w:szCs w:val="20"/>
        </w:rPr>
        <w:t>include:</w:t>
      </w:r>
      <w:proofErr w:type="gramEnd"/>
      <w:r w:rsidRPr="00817466">
        <w:rPr>
          <w:rFonts w:ascii="Poppins" w:hAnsi="Poppins" w:eastAsia="Times New Roman" w:cs="Poppins"/>
          <w:bCs/>
          <w:sz w:val="20"/>
          <w:szCs w:val="20"/>
        </w:rPr>
        <w:t xml:space="preserve"> </w:t>
      </w:r>
      <w:r w:rsidRPr="001376B9">
        <w:rPr>
          <w:rFonts w:ascii="Poppins" w:hAnsi="Poppins" w:eastAsia="Times New Roman" w:cs="Poppins"/>
          <w:b/>
          <w:sz w:val="20"/>
          <w:szCs w:val="20"/>
        </w:rPr>
        <w:t>Trust patient liaison and transport leads, appointment administrators, GP practices</w:t>
      </w:r>
    </w:p>
    <w:p w:rsidRPr="00931E2C" w:rsidR="00C06E74" w:rsidP="001B36EE" w:rsidRDefault="00C06E74" w14:paraId="5AC13158" w14:textId="4F0A88AF">
      <w:pPr>
        <w:pStyle w:val="Heading1"/>
        <w:spacing w:line="240" w:lineRule="auto"/>
        <w:rPr>
          <w:rFonts w:ascii="Poppins" w:hAnsi="Poppins" w:cs="Poppins"/>
          <w:color w:val="0023C8"/>
        </w:rPr>
      </w:pPr>
      <w:bookmarkStart w:name="_Toc229391552" w:id="38"/>
      <w:r w:rsidRPr="00931E2C">
        <w:rPr>
          <w:rFonts w:ascii="Poppins" w:hAnsi="Poppins" w:cs="Poppins"/>
          <w:color w:val="0023C8"/>
        </w:rPr>
        <w:t xml:space="preserve">Appendix 2. </w:t>
      </w:r>
      <w:r w:rsidRPr="00931E2C" w:rsidR="004045DA">
        <w:rPr>
          <w:rFonts w:ascii="Poppins" w:hAnsi="Poppins" w:cs="Poppins"/>
          <w:color w:val="0023C8"/>
        </w:rPr>
        <w:t xml:space="preserve">Likely patient numbers </w:t>
      </w:r>
      <w:r w:rsidRPr="00931E2C" w:rsidR="008D76EF">
        <w:rPr>
          <w:rFonts w:ascii="Poppins" w:hAnsi="Poppins" w:cs="Poppins"/>
          <w:color w:val="0023C8"/>
        </w:rPr>
        <w:t>accessing</w:t>
      </w:r>
      <w:r w:rsidRPr="00931E2C" w:rsidR="004045DA">
        <w:rPr>
          <w:rFonts w:ascii="Poppins" w:hAnsi="Poppins" w:cs="Poppins"/>
          <w:color w:val="0023C8"/>
        </w:rPr>
        <w:t xml:space="preserve"> the service</w:t>
      </w:r>
      <w:bookmarkEnd w:id="38"/>
    </w:p>
    <w:p w:rsidRPr="00913708" w:rsidR="008D76EF" w:rsidP="001B36EE" w:rsidRDefault="008D76EF" w14:paraId="0A8AA5A4" w14:textId="0851DF5D">
      <w:pPr>
        <w:spacing w:after="120" w:line="240" w:lineRule="auto"/>
        <w:rPr>
          <w:rFonts w:ascii="Poppins" w:hAnsi="Poppins" w:eastAsia="Times New Roman" w:cs="Poppins"/>
          <w:sz w:val="20"/>
          <w:szCs w:val="20"/>
        </w:rPr>
      </w:pPr>
      <w:r w:rsidRPr="00913708">
        <w:rPr>
          <w:rFonts w:ascii="Poppins" w:hAnsi="Poppins" w:eastAsia="Times New Roman" w:cs="Poppins"/>
          <w:sz w:val="20"/>
          <w:szCs w:val="20"/>
        </w:rPr>
        <w:t>The following tables are an indication of the potential numbers of p</w:t>
      </w:r>
      <w:r w:rsidR="00481952">
        <w:rPr>
          <w:rFonts w:ascii="Poppins" w:hAnsi="Poppins" w:eastAsia="Times New Roman" w:cs="Poppins"/>
          <w:sz w:val="20"/>
          <w:szCs w:val="20"/>
        </w:rPr>
        <w:t>eople</w:t>
      </w:r>
      <w:r w:rsidRPr="00913708">
        <w:rPr>
          <w:rFonts w:ascii="Poppins" w:hAnsi="Poppins" w:eastAsia="Times New Roman" w:cs="Poppins"/>
          <w:sz w:val="20"/>
          <w:szCs w:val="20"/>
        </w:rPr>
        <w:t xml:space="preserve"> who may be eligible for teplizumab identified via early detection studies or first-degree relative (FDR) testing.</w:t>
      </w:r>
    </w:p>
    <w:p w:rsidRPr="00913708" w:rsidR="008D76EF" w:rsidP="001B36EE" w:rsidRDefault="008D76EF" w14:paraId="0401440C" w14:textId="63B0704A">
      <w:pPr>
        <w:spacing w:after="0" w:line="240" w:lineRule="auto"/>
        <w:rPr>
          <w:rFonts w:ascii="Poppins" w:hAnsi="Poppins" w:eastAsia="Times New Roman" w:cs="Poppins"/>
          <w:sz w:val="20"/>
          <w:szCs w:val="20"/>
        </w:rPr>
      </w:pPr>
      <w:r w:rsidRPr="00913708">
        <w:rPr>
          <w:rFonts w:ascii="Poppins" w:hAnsi="Poppins" w:eastAsia="Times New Roman" w:cs="Poppins"/>
          <w:sz w:val="20"/>
          <w:szCs w:val="20"/>
        </w:rPr>
        <w:t>Modelling would suggest between ~1 to 7 Stage 2 p</w:t>
      </w:r>
      <w:r w:rsidR="00481952">
        <w:rPr>
          <w:rFonts w:ascii="Poppins" w:hAnsi="Poppins" w:eastAsia="Times New Roman" w:cs="Poppins"/>
          <w:sz w:val="20"/>
          <w:szCs w:val="20"/>
        </w:rPr>
        <w:t>eople</w:t>
      </w:r>
      <w:r w:rsidRPr="00913708">
        <w:rPr>
          <w:rFonts w:ascii="Poppins" w:hAnsi="Poppins" w:eastAsia="Times New Roman" w:cs="Poppins"/>
          <w:sz w:val="20"/>
          <w:szCs w:val="20"/>
        </w:rPr>
        <w:t xml:space="preserve"> per 1 million population per year could be identified over the next 1-5 years. This depends on</w:t>
      </w:r>
      <w:r w:rsidRPr="00913708" w:rsidR="00FC2064">
        <w:rPr>
          <w:rFonts w:ascii="Poppins" w:hAnsi="Poppins" w:eastAsia="Times New Roman" w:cs="Poppins"/>
          <w:sz w:val="20"/>
          <w:szCs w:val="20"/>
        </w:rPr>
        <w:t>:</w:t>
      </w:r>
    </w:p>
    <w:p w:rsidRPr="00913708" w:rsidR="008D76EF" w:rsidP="001B36EE" w:rsidRDefault="008D76EF" w14:paraId="3F9C450F" w14:textId="77777777">
      <w:pPr>
        <w:pStyle w:val="ListParagraph"/>
        <w:numPr>
          <w:ilvl w:val="0"/>
          <w:numId w:val="15"/>
        </w:numPr>
        <w:spacing w:after="60" w:line="240" w:lineRule="auto"/>
        <w:ind w:left="357" w:hanging="357"/>
        <w:contextualSpacing w:val="0"/>
        <w:rPr>
          <w:rFonts w:ascii="Poppins" w:hAnsi="Poppins" w:eastAsia="Times New Roman" w:cs="Poppins"/>
          <w:sz w:val="20"/>
          <w:szCs w:val="20"/>
        </w:rPr>
      </w:pPr>
      <w:r w:rsidRPr="00913708">
        <w:rPr>
          <w:rFonts w:ascii="Poppins" w:hAnsi="Poppins" w:eastAsia="Times New Roman" w:cs="Poppins"/>
          <w:sz w:val="20"/>
          <w:szCs w:val="20"/>
        </w:rPr>
        <w:t>Uptake and continuation of ELSA/T1DRA studies</w:t>
      </w:r>
    </w:p>
    <w:p w:rsidRPr="00913708" w:rsidR="008D76EF" w:rsidP="001B36EE" w:rsidRDefault="008D76EF" w14:paraId="79E29385" w14:textId="3A5FB999">
      <w:pPr>
        <w:pStyle w:val="ListParagraph"/>
        <w:numPr>
          <w:ilvl w:val="0"/>
          <w:numId w:val="15"/>
        </w:numPr>
        <w:spacing w:after="60" w:line="240" w:lineRule="auto"/>
        <w:ind w:left="357" w:hanging="357"/>
        <w:contextualSpacing w:val="0"/>
        <w:rPr>
          <w:rFonts w:ascii="Poppins" w:hAnsi="Poppins" w:eastAsia="Times New Roman" w:cs="Poppins"/>
          <w:sz w:val="20"/>
          <w:szCs w:val="20"/>
        </w:rPr>
      </w:pPr>
      <w:r w:rsidRPr="00913708">
        <w:rPr>
          <w:rFonts w:ascii="Poppins" w:hAnsi="Poppins" w:eastAsia="Times New Roman" w:cs="Poppins"/>
          <w:sz w:val="20"/>
          <w:szCs w:val="20"/>
        </w:rPr>
        <w:t xml:space="preserve">The extent of </w:t>
      </w:r>
      <w:r w:rsidRPr="00913708" w:rsidR="00FC2064">
        <w:rPr>
          <w:rFonts w:ascii="Poppins" w:hAnsi="Poppins" w:eastAsia="Times New Roman" w:cs="Poppins"/>
          <w:sz w:val="20"/>
          <w:szCs w:val="20"/>
        </w:rPr>
        <w:t>FDR</w:t>
      </w:r>
      <w:r w:rsidRPr="00913708">
        <w:rPr>
          <w:rFonts w:ascii="Poppins" w:hAnsi="Poppins" w:eastAsia="Times New Roman" w:cs="Poppins"/>
          <w:sz w:val="20"/>
          <w:szCs w:val="20"/>
        </w:rPr>
        <w:t xml:space="preserve"> testing locally and retesting of Stage 1 patients</w:t>
      </w:r>
    </w:p>
    <w:p w:rsidRPr="00913708" w:rsidR="00474368" w:rsidP="001B36EE" w:rsidRDefault="00474368" w14:paraId="02C5FE45" w14:textId="2F266887">
      <w:pPr>
        <w:spacing w:after="120" w:line="240" w:lineRule="auto"/>
        <w:rPr>
          <w:rFonts w:ascii="Poppins" w:hAnsi="Poppins" w:eastAsia="Times New Roman" w:cs="Poppins"/>
          <w:sz w:val="20"/>
          <w:szCs w:val="20"/>
        </w:rPr>
      </w:pPr>
      <w:r w:rsidRPr="00913708">
        <w:rPr>
          <w:rFonts w:ascii="Poppins" w:hAnsi="Poppins" w:eastAsia="Times New Roman" w:cs="Poppins"/>
          <w:sz w:val="20"/>
          <w:szCs w:val="20"/>
        </w:rPr>
        <w:t>The following tables illustrate the potential numbers of p</w:t>
      </w:r>
      <w:r w:rsidR="00481952">
        <w:rPr>
          <w:rFonts w:ascii="Poppins" w:hAnsi="Poppins" w:eastAsia="Times New Roman" w:cs="Poppins"/>
          <w:sz w:val="20"/>
          <w:szCs w:val="20"/>
        </w:rPr>
        <w:t>eople</w:t>
      </w:r>
      <w:r w:rsidRPr="00913708">
        <w:rPr>
          <w:rFonts w:ascii="Poppins" w:hAnsi="Poppins" w:eastAsia="Times New Roman" w:cs="Poppins"/>
          <w:sz w:val="20"/>
          <w:szCs w:val="20"/>
        </w:rPr>
        <w:t xml:space="preserve"> eligible for TZIELD who may be identified through current research trials (blue boxes) and through </w:t>
      </w:r>
      <w:r w:rsidRPr="00913708">
        <w:rPr>
          <w:rFonts w:ascii="Poppins" w:hAnsi="Poppins" w:eastAsia="Times New Roman" w:cs="Poppins"/>
          <w:i/>
          <w:iCs/>
          <w:sz w:val="20"/>
          <w:szCs w:val="20"/>
        </w:rPr>
        <w:t>ad hoc</w:t>
      </w:r>
      <w:r w:rsidRPr="00913708">
        <w:rPr>
          <w:rFonts w:ascii="Poppins" w:hAnsi="Poppins" w:eastAsia="Times New Roman" w:cs="Poppins"/>
          <w:sz w:val="20"/>
          <w:szCs w:val="20"/>
        </w:rPr>
        <w:t xml:space="preserve"> testing of first-degree relatives of patients with T1D (orange boxes).</w:t>
      </w:r>
    </w:p>
    <w:p w:rsidRPr="00913708" w:rsidR="007B7B7F" w:rsidP="001B36EE" w:rsidRDefault="00474368" w14:paraId="44EB5F40" w14:textId="3D8F9859">
      <w:pPr>
        <w:spacing w:after="120" w:line="240" w:lineRule="auto"/>
        <w:rPr>
          <w:rFonts w:ascii="Poppins" w:hAnsi="Poppins" w:eastAsia="Times New Roman" w:cs="Poppins"/>
          <w:sz w:val="20"/>
          <w:szCs w:val="20"/>
        </w:rPr>
      </w:pPr>
      <w:r w:rsidRPr="00913708">
        <w:rPr>
          <w:rFonts w:ascii="Poppins" w:hAnsi="Poppins" w:eastAsia="Times New Roman" w:cs="Poppins"/>
          <w:sz w:val="20"/>
          <w:szCs w:val="20"/>
        </w:rPr>
        <w:t>The numbers of patients identified with Stage 1 and Stage 2 using reference sources are shown in the first of the two tables for each cohort. The second table shows the cumulative effect of continuing to identify new patients each year adding to those with Stage 1 that progress to Stage 2 annually.</w:t>
      </w:r>
    </w:p>
    <w:tbl>
      <w:tblPr>
        <w:tblStyle w:val="TableGrid"/>
        <w:tblW w:w="8787" w:type="dxa"/>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5669"/>
        <w:gridCol w:w="1417"/>
        <w:gridCol w:w="1701"/>
      </w:tblGrid>
      <w:tr w:rsidRPr="00C43185" w:rsidR="007B7B7F" w:rsidTr="00267D11" w14:paraId="791496E1" w14:textId="77777777">
        <w:trPr>
          <w:trHeight w:val="567"/>
        </w:trPr>
        <w:tc>
          <w:tcPr>
            <w:tcW w:w="8787" w:type="dxa"/>
            <w:gridSpan w:val="3"/>
            <w:shd w:val="clear" w:color="auto" w:fill="0096FF"/>
            <w:vAlign w:val="center"/>
          </w:tcPr>
          <w:p w:rsidRPr="00267D11" w:rsidR="007B7B7F" w:rsidP="001B36EE" w:rsidRDefault="007B7B7F" w14:paraId="1FD63DFB" w14:textId="77777777">
            <w:pPr>
              <w:spacing w:before="60" w:after="60"/>
              <w:jc w:val="center"/>
              <w:rPr>
                <w:rFonts w:ascii="Poppins" w:hAnsi="Poppins" w:eastAsia="Times New Roman" w:cs="Poppins"/>
              </w:rPr>
            </w:pPr>
            <w:r w:rsidRPr="00267D11">
              <w:rPr>
                <w:rFonts w:ascii="Poppins" w:hAnsi="Poppins" w:eastAsia="Times New Roman" w:cs="Poppins"/>
                <w:color w:val="FFFFFF" w:themeColor="background1"/>
              </w:rPr>
              <w:t xml:space="preserve">Of the </w:t>
            </w:r>
            <w:r w:rsidRPr="00267D11">
              <w:rPr>
                <w:rFonts w:ascii="Poppins" w:hAnsi="Poppins" w:eastAsia="Times New Roman" w:cs="Poppins"/>
                <w:b/>
                <w:bCs/>
                <w:color w:val="FFFFFF" w:themeColor="background1"/>
              </w:rPr>
              <w:t xml:space="preserve">600 </w:t>
            </w:r>
            <w:r w:rsidRPr="00267D11">
              <w:rPr>
                <w:rFonts w:ascii="Poppins" w:hAnsi="Poppins" w:eastAsia="Times New Roman" w:cs="Poppins"/>
                <w:color w:val="FFFFFF" w:themeColor="background1"/>
              </w:rPr>
              <w:t>people per million population screened by ELSA/T1DRA:</w:t>
            </w:r>
          </w:p>
        </w:tc>
      </w:tr>
      <w:tr w:rsidRPr="00C43185" w:rsidR="007B7B7F" w:rsidTr="00267D11" w14:paraId="31A6BA94" w14:textId="77777777">
        <w:trPr>
          <w:trHeight w:val="680"/>
        </w:trPr>
        <w:tc>
          <w:tcPr>
            <w:tcW w:w="5669" w:type="dxa"/>
            <w:shd w:val="clear" w:color="auto" w:fill="A4D6EF"/>
            <w:vAlign w:val="center"/>
          </w:tcPr>
          <w:p w:rsidRPr="00931E2C" w:rsidR="007B7B7F" w:rsidP="001B36EE" w:rsidRDefault="007B7B7F" w14:paraId="25ED27A2" w14:textId="77777777">
            <w:pPr>
              <w:spacing w:before="60" w:after="60"/>
              <w:rPr>
                <w:rFonts w:ascii="Poppins" w:hAnsi="Poppins" w:eastAsia="Times New Roman" w:cs="Poppins"/>
                <w:sz w:val="20"/>
                <w:szCs w:val="20"/>
              </w:rPr>
            </w:pPr>
          </w:p>
        </w:tc>
        <w:tc>
          <w:tcPr>
            <w:tcW w:w="1417" w:type="dxa"/>
            <w:shd w:val="clear" w:color="auto" w:fill="A4D6EF"/>
            <w:vAlign w:val="center"/>
          </w:tcPr>
          <w:p w:rsidRPr="00931E2C" w:rsidR="007B7B7F" w:rsidP="001B36EE" w:rsidRDefault="007B7B7F" w14:paraId="161628ED"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w:t>
            </w:r>
          </w:p>
        </w:tc>
        <w:tc>
          <w:tcPr>
            <w:tcW w:w="1701" w:type="dxa"/>
            <w:shd w:val="clear" w:color="auto" w:fill="A4D6EF"/>
            <w:vAlign w:val="center"/>
          </w:tcPr>
          <w:p w:rsidRPr="00931E2C" w:rsidR="007B7B7F" w:rsidP="001B36EE" w:rsidRDefault="007B7B7F" w14:paraId="6B2CD2F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Numbers of patients</w:t>
            </w:r>
          </w:p>
        </w:tc>
      </w:tr>
      <w:tr w:rsidRPr="00C43185" w:rsidR="007B7B7F" w:rsidTr="00267D11" w14:paraId="3E254511" w14:textId="77777777">
        <w:trPr>
          <w:trHeight w:val="454"/>
        </w:trPr>
        <w:tc>
          <w:tcPr>
            <w:tcW w:w="5669" w:type="dxa"/>
            <w:shd w:val="clear" w:color="auto" w:fill="F2F2F2"/>
            <w:vAlign w:val="center"/>
          </w:tcPr>
          <w:p w:rsidRPr="00931E2C" w:rsidR="007B7B7F" w:rsidP="001B36EE" w:rsidRDefault="007B7B7F" w14:paraId="6450A00C" w14:textId="77777777">
            <w:pPr>
              <w:spacing w:before="60" w:after="60"/>
              <w:rPr>
                <w:rFonts w:ascii="Poppins" w:hAnsi="Poppins" w:eastAsia="Times New Roman" w:cs="Poppins"/>
                <w:sz w:val="20"/>
                <w:szCs w:val="20"/>
              </w:rPr>
            </w:pPr>
            <w:r w:rsidRPr="00931E2C">
              <w:rPr>
                <w:rFonts w:ascii="Poppins" w:hAnsi="Poppins" w:eastAsia="Times New Roman" w:cs="Poppins"/>
                <w:sz w:val="20"/>
                <w:szCs w:val="20"/>
              </w:rPr>
              <w:t>2 or more auto-antibodies (</w:t>
            </w:r>
            <w:r w:rsidRPr="00BC08D9">
              <w:rPr>
                <w:rFonts w:ascii="Poppins" w:hAnsi="Poppins" w:eastAsia="Times New Roman" w:cs="Poppins"/>
                <w:b/>
                <w:bCs/>
                <w:sz w:val="20"/>
                <w:szCs w:val="20"/>
              </w:rPr>
              <w:t>Stage 1</w:t>
            </w:r>
            <w:r w:rsidRPr="00931E2C">
              <w:rPr>
                <w:rFonts w:ascii="Poppins" w:hAnsi="Poppins" w:eastAsia="Times New Roman" w:cs="Poppins"/>
                <w:sz w:val="20"/>
                <w:szCs w:val="20"/>
              </w:rPr>
              <w:t>)</w:t>
            </w:r>
            <w:r w:rsidRPr="00931E2C">
              <w:rPr>
                <w:rFonts w:ascii="Poppins" w:hAnsi="Poppins" w:eastAsia="Times New Roman" w:cs="Poppins"/>
                <w:sz w:val="20"/>
                <w:szCs w:val="20"/>
                <w:vertAlign w:val="superscript"/>
              </w:rPr>
              <w:fldChar w:fldCharType="begin"/>
            </w:r>
            <w:r w:rsidRPr="00931E2C">
              <w:rPr>
                <w:rFonts w:ascii="Poppins" w:hAnsi="Poppins" w:eastAsia="Times New Roman" w:cs="Poppins"/>
                <w:sz w:val="20"/>
                <w:szCs w:val="20"/>
                <w:vertAlign w:val="superscript"/>
              </w:rPr>
              <w:instrText xml:space="preserve"> ADDIN EN.CITE &lt;EndNote&gt;&lt;Cite&gt;&lt;Author&gt;McQueen&lt;/Author&gt;&lt;Year&gt;2020&lt;/Year&gt;&lt;RecNum&gt;29806&lt;/RecNum&gt;&lt;DisplayText&gt;&lt;style face="superscript"&gt;(McQueen, 2020)&lt;/style&gt;&lt;/DisplayText&gt;&lt;record&gt;&lt;rec-number&gt;29806&lt;/rec-number&gt;&lt;foreign-keys&gt;&lt;key app="EN" db-id="f5f5va0252p5fee95pj55es3tdereta29dxz" timestamp="1753707576" guid="591675cf-58a8-4854-af78-63255034e9a4"&gt;29806&lt;/key&gt;&lt;/foreign-keys&gt;&lt;ref-type name="Journal Article"&gt;17&lt;/ref-type&gt;&lt;contributors&gt;&lt;authors&gt;&lt;author&gt;McQueen, R. Brett&lt;/author&gt;&lt;author&gt;Geno Rasmussen, Cristy&lt;/author&gt;&lt;author&gt;Waugh, Kathleen&lt;/author&gt;&lt;author&gt;Frohnert, Brigitte I.&lt;/author&gt;&lt;author&gt;Steck, Andrea K.&lt;/author&gt;&lt;author&gt;Yu, Liping&lt;/author&gt;&lt;author&gt;Baxter, Judith&lt;/author&gt;&lt;author&gt;Rewers, Marian&lt;/author&gt;&lt;/authors&gt;&lt;/contributors&gt;&lt;titles&gt;&lt;title&gt;Cost and Cost-effectiveness of Large-scale Screening for Type 1 Diabetes in Colorado&lt;/title&gt;&lt;secondary-title&gt;Diabetes Care&lt;/secondary-title&gt;&lt;/titles&gt;&lt;periodical&gt;&lt;full-title&gt;Diabetes Care&lt;/full-title&gt;&lt;/periodical&gt;&lt;pages&gt;1496-1503&lt;/pages&gt;&lt;volume&gt;43&lt;/volume&gt;&lt;number&gt;7&lt;/number&gt;&lt;dates&gt;&lt;year&gt;2020&lt;/year&gt;&lt;/dates&gt;&lt;publisher&gt;American Diabetes Association&lt;/publisher&gt;&lt;isbn&gt;0149-5992&lt;/isbn&gt;&lt;urls&gt;&lt;related-urls&gt;&lt;url&gt;https://dx.doi.org/10.2337/dc19-2003&lt;/url&gt;&lt;/related-urls&gt;&lt;/urls&gt;&lt;electronic-resource-num&gt;10.2337/dc19-2003&lt;/electronic-resource-num&gt;&lt;/record&gt;&lt;/Cite&gt;&lt;/EndNote&gt;</w:instrText>
            </w:r>
            <w:r w:rsidRPr="00931E2C">
              <w:rPr>
                <w:rFonts w:ascii="Poppins" w:hAnsi="Poppins" w:eastAsia="Times New Roman" w:cs="Poppins"/>
                <w:sz w:val="20"/>
                <w:szCs w:val="20"/>
                <w:vertAlign w:val="superscript"/>
              </w:rPr>
              <w:fldChar w:fldCharType="separate"/>
            </w:r>
            <w:r w:rsidRPr="00931E2C">
              <w:rPr>
                <w:rFonts w:ascii="Poppins" w:hAnsi="Poppins" w:eastAsia="Times New Roman" w:cs="Poppins"/>
                <w:sz w:val="20"/>
                <w:szCs w:val="20"/>
                <w:vertAlign w:val="superscript"/>
              </w:rPr>
              <w:t>(McQueen, 2020)</w:t>
            </w:r>
            <w:r w:rsidRPr="00931E2C">
              <w:rPr>
                <w:rFonts w:ascii="Poppins" w:hAnsi="Poppins" w:eastAsia="Times New Roman" w:cs="Poppins"/>
                <w:sz w:val="20"/>
                <w:szCs w:val="20"/>
                <w:vertAlign w:val="superscript"/>
              </w:rPr>
              <w:fldChar w:fldCharType="end"/>
            </w:r>
          </w:p>
        </w:tc>
        <w:tc>
          <w:tcPr>
            <w:tcW w:w="1417" w:type="dxa"/>
            <w:shd w:val="clear" w:color="auto" w:fill="F2F2F2"/>
            <w:vAlign w:val="center"/>
          </w:tcPr>
          <w:p w:rsidRPr="00BC08D9" w:rsidR="007B7B7F" w:rsidP="001B36EE" w:rsidRDefault="007B7B7F" w14:paraId="0418D5DD" w14:textId="77777777">
            <w:pPr>
              <w:spacing w:before="60" w:after="60"/>
              <w:jc w:val="center"/>
              <w:rPr>
                <w:rFonts w:ascii="Poppins" w:hAnsi="Poppins" w:eastAsia="Times New Roman" w:cs="Poppins"/>
                <w:b/>
                <w:bCs/>
                <w:sz w:val="20"/>
                <w:szCs w:val="20"/>
              </w:rPr>
            </w:pPr>
            <w:r w:rsidRPr="00BC08D9">
              <w:rPr>
                <w:rFonts w:ascii="Poppins" w:hAnsi="Poppins" w:eastAsia="Times New Roman" w:cs="Poppins"/>
                <w:b/>
                <w:bCs/>
                <w:sz w:val="20"/>
                <w:szCs w:val="20"/>
              </w:rPr>
              <w:t>0.5</w:t>
            </w:r>
          </w:p>
        </w:tc>
        <w:tc>
          <w:tcPr>
            <w:tcW w:w="1701" w:type="dxa"/>
            <w:shd w:val="clear" w:color="auto" w:fill="F2F2F2"/>
            <w:vAlign w:val="center"/>
          </w:tcPr>
          <w:p w:rsidRPr="00931E2C" w:rsidR="007B7B7F" w:rsidP="001B36EE" w:rsidRDefault="007B7B7F" w14:paraId="47D1292C"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3</w:t>
            </w:r>
          </w:p>
        </w:tc>
      </w:tr>
      <w:tr w:rsidRPr="00C43185" w:rsidR="007B7B7F" w:rsidTr="00267D11" w14:paraId="4BB7B382" w14:textId="77777777">
        <w:trPr>
          <w:trHeight w:val="454"/>
        </w:trPr>
        <w:tc>
          <w:tcPr>
            <w:tcW w:w="5669" w:type="dxa"/>
            <w:shd w:val="clear" w:color="auto" w:fill="F2F2F2"/>
            <w:vAlign w:val="center"/>
          </w:tcPr>
          <w:p w:rsidRPr="00931E2C" w:rsidR="007B7B7F" w:rsidP="001B36EE" w:rsidRDefault="007B7B7F" w14:paraId="36D76CFA" w14:textId="77777777">
            <w:pPr>
              <w:spacing w:before="60" w:after="60"/>
              <w:rPr>
                <w:rFonts w:ascii="Poppins" w:hAnsi="Poppins" w:eastAsia="Times New Roman" w:cs="Poppins"/>
                <w:sz w:val="20"/>
                <w:szCs w:val="20"/>
              </w:rPr>
            </w:pPr>
            <w:r w:rsidRPr="00931E2C">
              <w:rPr>
                <w:rFonts w:ascii="Poppins" w:hAnsi="Poppins" w:eastAsia="Times New Roman" w:cs="Poppins"/>
                <w:sz w:val="20"/>
                <w:szCs w:val="20"/>
              </w:rPr>
              <w:t>Dysglycaemia detected (</w:t>
            </w:r>
            <w:r w:rsidRPr="00BC08D9">
              <w:rPr>
                <w:rFonts w:ascii="Poppins" w:hAnsi="Poppins" w:eastAsia="Times New Roman" w:cs="Poppins"/>
                <w:b/>
                <w:bCs/>
                <w:sz w:val="20"/>
                <w:szCs w:val="20"/>
              </w:rPr>
              <w:t>Stage 2</w:t>
            </w:r>
            <w:r w:rsidRPr="00931E2C">
              <w:rPr>
                <w:rFonts w:ascii="Poppins" w:hAnsi="Poppins" w:eastAsia="Times New Roman" w:cs="Poppins"/>
                <w:sz w:val="20"/>
                <w:szCs w:val="20"/>
              </w:rPr>
              <w:t>)</w:t>
            </w:r>
            <w:r w:rsidRPr="00931E2C">
              <w:rPr>
                <w:rFonts w:ascii="Poppins" w:hAnsi="Poppins" w:eastAsia="Times New Roman" w:cs="Poppins"/>
                <w:sz w:val="20"/>
                <w:szCs w:val="20"/>
                <w:vertAlign w:val="superscript"/>
              </w:rPr>
              <w:fldChar w:fldCharType="begin"/>
            </w:r>
            <w:r w:rsidRPr="00931E2C">
              <w:rPr>
                <w:rFonts w:ascii="Poppins" w:hAnsi="Poppins" w:eastAsia="Times New Roman" w:cs="Poppins"/>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931E2C">
              <w:rPr>
                <w:rFonts w:ascii="Poppins" w:hAnsi="Poppins" w:eastAsia="Times New Roman" w:cs="Poppins"/>
                <w:sz w:val="20"/>
                <w:szCs w:val="20"/>
                <w:vertAlign w:val="superscript"/>
              </w:rPr>
              <w:fldChar w:fldCharType="separate"/>
            </w:r>
            <w:r w:rsidRPr="00931E2C">
              <w:rPr>
                <w:rFonts w:ascii="Poppins" w:hAnsi="Poppins" w:eastAsia="Times New Roman" w:cs="Poppins"/>
                <w:sz w:val="20"/>
                <w:szCs w:val="20"/>
                <w:vertAlign w:val="superscript"/>
              </w:rPr>
              <w:t>(Quinn, 2023)</w:t>
            </w:r>
            <w:r w:rsidRPr="00931E2C">
              <w:rPr>
                <w:rFonts w:ascii="Poppins" w:hAnsi="Poppins" w:eastAsia="Times New Roman" w:cs="Poppins"/>
                <w:sz w:val="20"/>
                <w:szCs w:val="20"/>
                <w:vertAlign w:val="superscript"/>
              </w:rPr>
              <w:fldChar w:fldCharType="end"/>
            </w:r>
          </w:p>
        </w:tc>
        <w:tc>
          <w:tcPr>
            <w:tcW w:w="1417" w:type="dxa"/>
            <w:shd w:val="clear" w:color="auto" w:fill="F2F2F2"/>
            <w:vAlign w:val="center"/>
          </w:tcPr>
          <w:p w:rsidRPr="00BC08D9" w:rsidR="007B7B7F" w:rsidP="001B36EE" w:rsidRDefault="007B7B7F" w14:paraId="017C7775" w14:textId="77777777">
            <w:pPr>
              <w:spacing w:before="60" w:after="60"/>
              <w:jc w:val="center"/>
              <w:rPr>
                <w:rFonts w:ascii="Poppins" w:hAnsi="Poppins" w:eastAsia="Times New Roman" w:cs="Poppins"/>
                <w:b/>
                <w:bCs/>
                <w:sz w:val="20"/>
                <w:szCs w:val="20"/>
              </w:rPr>
            </w:pPr>
            <w:r w:rsidRPr="00BC08D9">
              <w:rPr>
                <w:rFonts w:ascii="Poppins" w:hAnsi="Poppins" w:eastAsia="Times New Roman" w:cs="Poppins"/>
                <w:b/>
                <w:bCs/>
                <w:sz w:val="20"/>
                <w:szCs w:val="20"/>
              </w:rPr>
              <w:t>10</w:t>
            </w:r>
          </w:p>
        </w:tc>
        <w:tc>
          <w:tcPr>
            <w:tcW w:w="1701" w:type="dxa"/>
            <w:shd w:val="clear" w:color="auto" w:fill="F2F2F2"/>
            <w:vAlign w:val="center"/>
          </w:tcPr>
          <w:p w:rsidRPr="00931E2C" w:rsidR="007B7B7F" w:rsidP="001B36EE" w:rsidRDefault="007B7B7F" w14:paraId="1EFF85AB"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r>
    </w:tbl>
    <w:p w:rsidRPr="007B7B7F" w:rsidR="007B7B7F" w:rsidP="001B36EE" w:rsidRDefault="007B7B7F" w14:paraId="55C47A7C" w14:textId="52C65ED7">
      <w:pPr>
        <w:spacing w:before="240" w:after="240" w:line="240" w:lineRule="auto"/>
        <w:rPr>
          <w:rFonts w:ascii="Poppins" w:hAnsi="Poppins" w:eastAsia="Times New Roman" w:cs="Poppins"/>
          <w:sz w:val="20"/>
          <w:szCs w:val="20"/>
        </w:rPr>
      </w:pPr>
      <w:r w:rsidRPr="00931E2C">
        <w:rPr>
          <w:rFonts w:ascii="Poppins" w:hAnsi="Poppins" w:eastAsia="Times New Roman" w:cs="Poppins"/>
          <w:sz w:val="20"/>
          <w:szCs w:val="20"/>
        </w:rPr>
        <w:t xml:space="preserve">Based on the above table, expected number of people who may be eligible for teplizumab per 1 million population via screening 600 people in research studies: </w:t>
      </w:r>
    </w:p>
    <w:tbl>
      <w:tblPr>
        <w:tblStyle w:val="TableGrid"/>
        <w:tblW w:w="8787" w:type="dxa"/>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850"/>
        <w:gridCol w:w="2268"/>
        <w:gridCol w:w="1984"/>
        <w:gridCol w:w="2098"/>
        <w:gridCol w:w="1587"/>
      </w:tblGrid>
      <w:tr w:rsidRPr="00C43185" w:rsidR="007B7B7F" w:rsidTr="00267D11" w14:paraId="6AD07AF6" w14:textId="77777777">
        <w:trPr>
          <w:trHeight w:val="2268"/>
        </w:trPr>
        <w:tc>
          <w:tcPr>
            <w:tcW w:w="850" w:type="dxa"/>
            <w:shd w:val="clear" w:color="auto" w:fill="0096FF"/>
            <w:vAlign w:val="center"/>
          </w:tcPr>
          <w:p w:rsidRPr="007B7B7F" w:rsidR="007B7B7F" w:rsidP="001B36EE" w:rsidRDefault="007B7B7F" w14:paraId="370C8019" w14:textId="77777777">
            <w:pPr>
              <w:spacing w:before="120"/>
              <w:jc w:val="center"/>
              <w:rPr>
                <w:rFonts w:ascii="Poppins" w:hAnsi="Poppins" w:eastAsia="Times New Roman" w:cs="Poppins"/>
                <w:b/>
                <w:bCs/>
                <w:color w:val="FFFFFF" w:themeColor="background1"/>
                <w:sz w:val="20"/>
                <w:szCs w:val="20"/>
              </w:rPr>
            </w:pPr>
            <w:r w:rsidRPr="007B7B7F">
              <w:rPr>
                <w:rFonts w:ascii="Poppins" w:hAnsi="Poppins" w:eastAsia="Times New Roman" w:cs="Poppins"/>
                <w:b/>
                <w:bCs/>
                <w:color w:val="FFFFFF" w:themeColor="background1"/>
                <w:sz w:val="20"/>
                <w:szCs w:val="20"/>
              </w:rPr>
              <w:t>Year</w:t>
            </w:r>
          </w:p>
        </w:tc>
        <w:tc>
          <w:tcPr>
            <w:tcW w:w="2268" w:type="dxa"/>
            <w:shd w:val="clear" w:color="auto" w:fill="0096FF"/>
            <w:vAlign w:val="center"/>
          </w:tcPr>
          <w:p w:rsidRPr="007B7B7F" w:rsidR="007B7B7F" w:rsidP="001B36EE" w:rsidRDefault="007B7B7F" w14:paraId="759B1ADE" w14:textId="252296E8">
            <w:pPr>
              <w:spacing w:before="120"/>
              <w:jc w:val="center"/>
              <w:rPr>
                <w:rFonts w:ascii="Poppins" w:hAnsi="Poppins" w:eastAsia="Times New Roman" w:cs="Poppins"/>
                <w:color w:val="FFFFFF" w:themeColor="background1"/>
                <w:sz w:val="20"/>
                <w:szCs w:val="20"/>
              </w:rPr>
            </w:pPr>
            <w:r w:rsidRPr="007B7B7F">
              <w:rPr>
                <w:rFonts w:ascii="Poppins" w:hAnsi="Poppins" w:eastAsia="Times New Roman" w:cs="Poppins"/>
                <w:color w:val="FFFFFF" w:themeColor="background1"/>
                <w:sz w:val="20"/>
                <w:szCs w:val="20"/>
              </w:rPr>
              <w:t>Stage 1 people detected cumulative</w:t>
            </w:r>
            <w:r w:rsidR="00267D11">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7B7B7F">
              <w:rPr>
                <w:rFonts w:ascii="Poppins" w:hAnsi="Poppins" w:eastAsia="Times New Roman" w:cs="Poppins"/>
                <w:color w:val="FFFFFF" w:themeColor="background1"/>
                <w:sz w:val="20"/>
                <w:szCs w:val="20"/>
              </w:rPr>
              <w:instrText xml:space="preserve"> ADDIN EN.CITE </w:instrText>
            </w:r>
            <w:r w:rsidRPr="007B7B7F">
              <w:rPr>
                <w:rFonts w:ascii="Poppins" w:hAnsi="Poppins" w:eastAsia="Times New Roman" w:cs="Poppins"/>
                <w:color w:val="FFFFFF" w:themeColor="background1"/>
                <w:sz w:val="20"/>
                <w:szCs w:val="20"/>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7B7B7F">
              <w:rPr>
                <w:rFonts w:ascii="Poppins" w:hAnsi="Poppins" w:eastAsia="Times New Roman" w:cs="Poppins"/>
                <w:color w:val="FFFFFF" w:themeColor="background1"/>
                <w:sz w:val="20"/>
                <w:szCs w:val="20"/>
              </w:rPr>
              <w:instrText xml:space="preserve"> ADDIN EN.CITE.DATA </w:instrText>
            </w:r>
            <w:r w:rsidRPr="007B7B7F">
              <w:rPr>
                <w:rFonts w:ascii="Poppins" w:hAnsi="Poppins" w:eastAsia="Times New Roman" w:cs="Poppins"/>
                <w:color w:val="FFFFFF" w:themeColor="background1"/>
                <w:sz w:val="20"/>
                <w:szCs w:val="20"/>
              </w:rPr>
            </w:r>
            <w:r w:rsidRPr="007B7B7F">
              <w:rPr>
                <w:rFonts w:ascii="Poppins" w:hAnsi="Poppins" w:eastAsia="Times New Roman" w:cs="Poppins"/>
                <w:color w:val="FFFFFF" w:themeColor="background1"/>
                <w:sz w:val="20"/>
                <w:szCs w:val="20"/>
              </w:rPr>
              <w:fldChar w:fldCharType="end"/>
            </w:r>
            <w:r w:rsidRPr="007B7B7F">
              <w:rPr>
                <w:rFonts w:ascii="Poppins" w:hAnsi="Poppins" w:eastAsia="Times New Roman" w:cs="Poppins"/>
                <w:color w:val="FFFFFF" w:themeColor="background1"/>
                <w:sz w:val="20"/>
                <w:szCs w:val="20"/>
              </w:rPr>
            </w:r>
            <w:r w:rsidRPr="007B7B7F">
              <w:rPr>
                <w:rFonts w:ascii="Poppins" w:hAnsi="Poppins" w:eastAsia="Times New Roman" w:cs="Poppins"/>
                <w:color w:val="FFFFFF" w:themeColor="background1"/>
                <w:sz w:val="20"/>
                <w:szCs w:val="20"/>
              </w:rPr>
              <w:fldChar w:fldCharType="separate"/>
            </w:r>
            <w:r w:rsidRPr="007B7B7F">
              <w:rPr>
                <w:rFonts w:ascii="Poppins" w:hAnsi="Poppins" w:eastAsia="Times New Roman" w:cs="Poppins"/>
                <w:color w:val="FFFFFF" w:themeColor="background1"/>
                <w:sz w:val="20"/>
                <w:szCs w:val="20"/>
              </w:rPr>
              <w:t>(</w:t>
            </w:r>
            <w:r w:rsidRPr="007B7B7F">
              <w:rPr>
                <w:rFonts w:ascii="Poppins" w:hAnsi="Poppins" w:eastAsia="Times New Roman" w:cs="Poppins"/>
                <w:color w:val="FFFFFF" w:themeColor="background1"/>
                <w:sz w:val="20"/>
                <w:szCs w:val="20"/>
                <w:vertAlign w:val="superscript"/>
              </w:rPr>
              <w:t>Sims, 2022)</w:t>
            </w:r>
            <w:r w:rsidRPr="007B7B7F">
              <w:rPr>
                <w:rFonts w:ascii="Poppins" w:hAnsi="Poppins" w:eastAsia="Times New Roman" w:cs="Poppins"/>
                <w:color w:val="FFFFFF" w:themeColor="background1"/>
                <w:sz w:val="20"/>
                <w:szCs w:val="20"/>
              </w:rPr>
              <w:fldChar w:fldCharType="end"/>
            </w:r>
          </w:p>
        </w:tc>
        <w:tc>
          <w:tcPr>
            <w:tcW w:w="1984" w:type="dxa"/>
            <w:shd w:val="clear" w:color="auto" w:fill="0096FF"/>
            <w:vAlign w:val="center"/>
          </w:tcPr>
          <w:p w:rsidRPr="007B7B7F" w:rsidR="007B7B7F" w:rsidP="001B36EE" w:rsidRDefault="007B7B7F" w14:paraId="5A62A40B" w14:textId="1FAF05A3">
            <w:pPr>
              <w:spacing w:before="120"/>
              <w:jc w:val="center"/>
              <w:rPr>
                <w:rFonts w:ascii="Poppins" w:hAnsi="Poppins" w:eastAsia="Times New Roman" w:cs="Poppins"/>
                <w:color w:val="FFFFFF" w:themeColor="background1"/>
                <w:sz w:val="20"/>
                <w:szCs w:val="20"/>
              </w:rPr>
            </w:pPr>
            <w:r w:rsidRPr="007B7B7F">
              <w:rPr>
                <w:rFonts w:ascii="Poppins" w:hAnsi="Poppins" w:eastAsia="Times New Roman" w:cs="Poppins"/>
                <w:color w:val="FFFFFF" w:themeColor="background1"/>
                <w:sz w:val="20"/>
                <w:szCs w:val="20"/>
              </w:rPr>
              <w:t xml:space="preserve">Stage 2 people detected </w:t>
            </w:r>
            <w:r w:rsidR="00267D11">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rPr>
              <w:t>EACH year</w:t>
            </w:r>
            <w:r w:rsidR="00BC08D9">
              <w:rPr>
                <w:rFonts w:ascii="Poppins" w:hAnsi="Poppins" w:eastAsia="Times New Roman" w:cs="Poppins"/>
                <w:color w:val="FFFFFF" w:themeColor="background1"/>
                <w:sz w:val="20"/>
                <w:szCs w:val="20"/>
              </w:rPr>
              <w:t xml:space="preserve"> (10% of Stage 1)</w:t>
            </w:r>
            <w:r w:rsidR="00267D11">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vertAlign w:val="superscript"/>
              </w:rPr>
              <w:fldChar w:fldCharType="begin"/>
            </w:r>
            <w:r w:rsidRPr="007B7B7F">
              <w:rPr>
                <w:rFonts w:ascii="Poppins" w:hAnsi="Poppins" w:eastAsia="Times New Roman" w:cs="Poppins"/>
                <w:color w:val="FFFFFF" w:themeColor="background1"/>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7B7B7F">
              <w:rPr>
                <w:rFonts w:ascii="Poppins" w:hAnsi="Poppins" w:eastAsia="Times New Roman" w:cs="Poppins"/>
                <w:color w:val="FFFFFF" w:themeColor="background1"/>
                <w:sz w:val="20"/>
                <w:szCs w:val="20"/>
                <w:vertAlign w:val="superscript"/>
              </w:rPr>
              <w:fldChar w:fldCharType="separate"/>
            </w:r>
            <w:r w:rsidRPr="007B7B7F">
              <w:rPr>
                <w:rFonts w:ascii="Poppins" w:hAnsi="Poppins" w:eastAsia="Times New Roman" w:cs="Poppins"/>
                <w:color w:val="FFFFFF" w:themeColor="background1"/>
                <w:sz w:val="20"/>
                <w:szCs w:val="20"/>
                <w:vertAlign w:val="superscript"/>
              </w:rPr>
              <w:t>(Quinn, 2023)</w:t>
            </w:r>
            <w:r w:rsidRPr="007B7B7F">
              <w:rPr>
                <w:rFonts w:ascii="Poppins" w:hAnsi="Poppins" w:eastAsia="Times New Roman" w:cs="Poppins"/>
                <w:color w:val="FFFFFF" w:themeColor="background1"/>
                <w:sz w:val="20"/>
                <w:szCs w:val="20"/>
                <w:vertAlign w:val="superscript"/>
              </w:rPr>
              <w:fldChar w:fldCharType="end"/>
            </w:r>
          </w:p>
        </w:tc>
        <w:tc>
          <w:tcPr>
            <w:tcW w:w="2098" w:type="dxa"/>
            <w:shd w:val="clear" w:color="auto" w:fill="0096FF"/>
            <w:vAlign w:val="center"/>
          </w:tcPr>
          <w:p w:rsidRPr="007B7B7F" w:rsidR="007B7B7F" w:rsidP="001B36EE" w:rsidRDefault="007B7B7F" w14:paraId="153C1B55" w14:textId="3B03F635">
            <w:pPr>
              <w:spacing w:before="120"/>
              <w:jc w:val="center"/>
              <w:rPr>
                <w:rFonts w:ascii="Poppins" w:hAnsi="Poppins" w:eastAsia="Times New Roman" w:cs="Poppins"/>
                <w:color w:val="FFFFFF" w:themeColor="background1"/>
                <w:sz w:val="20"/>
                <w:szCs w:val="20"/>
              </w:rPr>
            </w:pPr>
            <w:r w:rsidRPr="007B7B7F">
              <w:rPr>
                <w:rFonts w:ascii="Poppins" w:hAnsi="Poppins" w:eastAsia="Times New Roman" w:cs="Poppins"/>
                <w:color w:val="FFFFFF" w:themeColor="background1"/>
                <w:sz w:val="20"/>
                <w:szCs w:val="20"/>
              </w:rPr>
              <w:t xml:space="preserve">Stage 1 people detected who will PROGRESS to Stage 2 </w:t>
            </w:r>
            <w:r w:rsidR="00267D11">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rPr>
              <w:t>EACH year (21%)</w:t>
            </w:r>
            <w:r>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vertAlign w:val="superscript"/>
              </w:rPr>
              <w:fldChar w:fldCharType="begin"/>
            </w:r>
            <w:r w:rsidRPr="007B7B7F">
              <w:rPr>
                <w:rFonts w:ascii="Poppins" w:hAnsi="Poppins" w:eastAsia="Times New Roman" w:cs="Poppins"/>
                <w:color w:val="FFFFFF" w:themeColor="background1"/>
                <w:sz w:val="20"/>
                <w:szCs w:val="20"/>
                <w:vertAlign w:val="superscript"/>
              </w:rPr>
              <w:instrText xml:space="preserve"> ADDIN EN.CITE &lt;EndNote&gt;&lt;Cite&gt;&lt;Author&gt;Sosenko&lt;/Author&gt;&lt;Year&gt;2009&lt;/Year&gt;&lt;RecNum&gt;30009&lt;/RecNum&gt;&lt;DisplayText&gt;&lt;style face="superscript"&gt;(Sosenko, 2009)&lt;/style&gt;&lt;/DisplayText&gt;&lt;record&gt;&lt;rec-number&gt;30009&lt;/rec-number&gt;&lt;foreign-keys&gt;&lt;key app="EN" db-id="f5f5va0252p5fee95pj55es3tdereta29dxz" timestamp="1756379965" guid="9238143b-ba98-4554-8d61-2a668ac1d8a6"&gt;30009&lt;/key&gt;&lt;/foreign-keys&gt;&lt;ref-type name="Journal Article"&gt;17&lt;/ref-type&gt;&lt;contributors&gt;&lt;authors&gt;&lt;author&gt;Sosenko, J. M.&lt;/author&gt;&lt;author&gt;Palmer, J. P.&lt;/author&gt;&lt;author&gt;Rafkin-Mervis, L.&lt;/author&gt;&lt;author&gt;Krischer, J. P.&lt;/author&gt;&lt;author&gt;Cuthbertson, D.&lt;/author&gt;&lt;author&gt;Mahon, J.&lt;/author&gt;&lt;author&gt;Greenbaum, C. J.&lt;/author&gt;&lt;author&gt;Cowie, C. C.&lt;/author&gt;&lt;author&gt;Skyler, J. S.&lt;/author&gt;&lt;/authors&gt;&lt;/contributors&gt;&lt;auth-address&gt;Division of Endocrinology, University of Miami, Miami, Florida, USA. jsosenko@med.miami.edu&lt;/auth-address&gt;&lt;titles&gt;&lt;title&gt;Incident dysglycemia and progression to type 1 diabetes among participants in the Diabetes Prevention Trial-Type 1&lt;/title&gt;&lt;secondary-title&gt;Diabetes Care&lt;/secondary-title&gt;&lt;/titles&gt;&lt;periodical&gt;&lt;full-title&gt;Diabetes Care&lt;/full-title&gt;&lt;/periodical&gt;&lt;pages&gt;1603-7&lt;/pages&gt;&lt;volume&gt;32&lt;/volume&gt;&lt;number&gt;9&lt;/number&gt;&lt;edition&gt;20090601&lt;/edition&gt;&lt;keywords&gt;&lt;keyword&gt;Adolescent&lt;/keyword&gt;&lt;keyword&gt;Blood Glucose&lt;/keyword&gt;&lt;keyword&gt;Child&lt;/keyword&gt;&lt;keyword&gt;Diabetes Mellitus, Type 1/blood/*epidemiology/*prevention &amp;amp; control&lt;/keyword&gt;&lt;keyword&gt;Female&lt;/keyword&gt;&lt;keyword&gt;Glucose Intolerance/blood&lt;/keyword&gt;&lt;keyword&gt;Glucose Tolerance Test&lt;/keyword&gt;&lt;keyword&gt;Humans&lt;/keyword&gt;&lt;keyword&gt;Male&lt;/keyword&gt;&lt;keyword&gt;Proportional Hazards Models&lt;/keyword&gt;&lt;/keywords&gt;&lt;dates&gt;&lt;year&gt;2009&lt;/year&gt;&lt;pub-dates&gt;&lt;date&gt;Sep&lt;/date&gt;&lt;/pub-dates&gt;&lt;/dates&gt;&lt;isbn&gt;0149-5992 (Print)&amp;#xD;0149-5992&lt;/isbn&gt;&lt;accession-num&gt;19487644&lt;/accession-num&gt;&lt;urls&gt;&lt;/urls&gt;&lt;custom2&gt;PMC2732147&lt;/custom2&gt;&lt;electronic-resource-num&gt;10.2337/dc08-2140&lt;/electronic-resource-num&gt;&lt;remote-database-provider&gt;NLM&lt;/remote-database-provider&gt;&lt;language&gt;eng&lt;/language&gt;&lt;/record&gt;&lt;/Cite&gt;&lt;/EndNote&gt;</w:instrText>
            </w:r>
            <w:r w:rsidRPr="007B7B7F">
              <w:rPr>
                <w:rFonts w:ascii="Poppins" w:hAnsi="Poppins" w:eastAsia="Times New Roman" w:cs="Poppins"/>
                <w:color w:val="FFFFFF" w:themeColor="background1"/>
                <w:sz w:val="20"/>
                <w:szCs w:val="20"/>
                <w:vertAlign w:val="superscript"/>
              </w:rPr>
              <w:fldChar w:fldCharType="separate"/>
            </w:r>
            <w:r w:rsidRPr="007B7B7F">
              <w:rPr>
                <w:rFonts w:ascii="Poppins" w:hAnsi="Poppins" w:eastAsia="Times New Roman" w:cs="Poppins"/>
                <w:color w:val="FFFFFF" w:themeColor="background1"/>
                <w:sz w:val="20"/>
                <w:szCs w:val="20"/>
                <w:vertAlign w:val="superscript"/>
              </w:rPr>
              <w:t>(Sosenko, 2009)</w:t>
            </w:r>
            <w:r w:rsidRPr="007B7B7F">
              <w:rPr>
                <w:rFonts w:ascii="Poppins" w:hAnsi="Poppins" w:eastAsia="Times New Roman" w:cs="Poppins"/>
                <w:color w:val="FFFFFF" w:themeColor="background1"/>
                <w:sz w:val="20"/>
                <w:szCs w:val="20"/>
                <w:vertAlign w:val="superscript"/>
              </w:rPr>
              <w:fldChar w:fldCharType="end"/>
            </w:r>
          </w:p>
        </w:tc>
        <w:tc>
          <w:tcPr>
            <w:tcW w:w="1587" w:type="dxa"/>
            <w:shd w:val="clear" w:color="auto" w:fill="0096FF"/>
            <w:vAlign w:val="center"/>
          </w:tcPr>
          <w:p w:rsidRPr="007B7B7F" w:rsidR="007B7B7F" w:rsidP="001B36EE" w:rsidRDefault="007B7B7F" w14:paraId="3DF13D7B" w14:textId="77777777">
            <w:pPr>
              <w:spacing w:before="120"/>
              <w:jc w:val="center"/>
              <w:rPr>
                <w:rFonts w:ascii="Poppins" w:hAnsi="Poppins" w:eastAsia="Times New Roman" w:cs="Poppins"/>
                <w:color w:val="FFFFFF" w:themeColor="background1"/>
                <w:sz w:val="20"/>
                <w:szCs w:val="20"/>
              </w:rPr>
            </w:pPr>
            <w:r w:rsidRPr="007B7B7F">
              <w:rPr>
                <w:rFonts w:ascii="Poppins" w:hAnsi="Poppins" w:eastAsia="Times New Roman" w:cs="Poppins"/>
                <w:color w:val="FFFFFF" w:themeColor="background1"/>
                <w:sz w:val="20"/>
                <w:szCs w:val="20"/>
              </w:rPr>
              <w:t xml:space="preserve">Total number of people </w:t>
            </w:r>
            <w:r w:rsidRPr="007B7B7F">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rPr>
              <w:t xml:space="preserve">in Stage 2 </w:t>
            </w:r>
            <w:r w:rsidRPr="007B7B7F">
              <w:rPr>
                <w:rFonts w:ascii="Poppins" w:hAnsi="Poppins" w:eastAsia="Times New Roman" w:cs="Poppins"/>
                <w:color w:val="FFFFFF" w:themeColor="background1"/>
                <w:sz w:val="20"/>
                <w:szCs w:val="20"/>
              </w:rPr>
              <w:br/>
            </w:r>
            <w:r w:rsidRPr="007B7B7F">
              <w:rPr>
                <w:rFonts w:ascii="Poppins" w:hAnsi="Poppins" w:eastAsia="Times New Roman" w:cs="Poppins"/>
                <w:color w:val="FFFFFF" w:themeColor="background1"/>
                <w:sz w:val="20"/>
                <w:szCs w:val="20"/>
              </w:rPr>
              <w:t>each year</w:t>
            </w:r>
          </w:p>
        </w:tc>
      </w:tr>
      <w:tr w:rsidRPr="00C43185" w:rsidR="007B7B7F" w:rsidTr="00267D11" w14:paraId="4D3F91CB" w14:textId="77777777">
        <w:trPr>
          <w:trHeight w:val="454"/>
        </w:trPr>
        <w:tc>
          <w:tcPr>
            <w:tcW w:w="850" w:type="dxa"/>
            <w:shd w:val="clear" w:color="auto" w:fill="A4D6EF"/>
            <w:vAlign w:val="center"/>
          </w:tcPr>
          <w:p w:rsidRPr="007B7B7F" w:rsidR="007B7B7F" w:rsidP="001B36EE" w:rsidRDefault="007B7B7F" w14:paraId="5B0A230E" w14:textId="77777777">
            <w:pPr>
              <w:spacing w:before="60" w:after="60"/>
              <w:jc w:val="center"/>
              <w:rPr>
                <w:rFonts w:ascii="Poppins" w:hAnsi="Poppins" w:eastAsia="Times New Roman" w:cs="Poppins"/>
                <w:b/>
                <w:bCs/>
                <w:color w:val="000000" w:themeColor="text1"/>
                <w:sz w:val="20"/>
                <w:szCs w:val="20"/>
              </w:rPr>
            </w:pPr>
            <w:r w:rsidRPr="007B7B7F">
              <w:rPr>
                <w:rFonts w:ascii="Poppins" w:hAnsi="Poppins" w:eastAsia="Times New Roman" w:cs="Poppins"/>
                <w:b/>
                <w:bCs/>
                <w:color w:val="000000" w:themeColor="text1"/>
                <w:sz w:val="20"/>
                <w:szCs w:val="20"/>
              </w:rPr>
              <w:t>1</w:t>
            </w:r>
          </w:p>
        </w:tc>
        <w:tc>
          <w:tcPr>
            <w:tcW w:w="2268" w:type="dxa"/>
            <w:shd w:val="clear" w:color="auto" w:fill="F2F2F2"/>
            <w:vAlign w:val="center"/>
          </w:tcPr>
          <w:p w:rsidRPr="00931E2C" w:rsidR="007B7B7F" w:rsidP="001B36EE" w:rsidRDefault="007B7B7F" w14:paraId="2EEFBB4F"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w:t>
            </w:r>
            <w:r w:rsidRPr="004E6766">
              <w:rPr>
                <w:rFonts w:ascii="Poppins" w:hAnsi="Poppins" w:eastAsia="Times New Roman" w:cs="Poppins"/>
                <w:b/>
                <w:bCs/>
                <w:sz w:val="20"/>
                <w:szCs w:val="20"/>
              </w:rPr>
              <w:t>3</w:t>
            </w:r>
          </w:p>
        </w:tc>
        <w:tc>
          <w:tcPr>
            <w:tcW w:w="1984" w:type="dxa"/>
            <w:shd w:val="clear" w:color="auto" w:fill="F2F2F2"/>
            <w:vAlign w:val="center"/>
          </w:tcPr>
          <w:p w:rsidRPr="00931E2C" w:rsidR="007B7B7F" w:rsidP="001B36EE" w:rsidRDefault="007B7B7F" w14:paraId="3DF19CC4"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7B7B7F" w:rsidP="001B36EE" w:rsidRDefault="007B7B7F" w14:paraId="7917E796" w14:textId="77777777">
            <w:pPr>
              <w:spacing w:before="60" w:after="60"/>
              <w:jc w:val="center"/>
              <w:rPr>
                <w:rFonts w:ascii="Poppins" w:hAnsi="Poppins" w:eastAsia="Times New Roman" w:cs="Poppins"/>
                <w:sz w:val="20"/>
                <w:szCs w:val="20"/>
              </w:rPr>
            </w:pPr>
          </w:p>
        </w:tc>
        <w:tc>
          <w:tcPr>
            <w:tcW w:w="1587" w:type="dxa"/>
            <w:shd w:val="clear" w:color="auto" w:fill="F2F2F2"/>
            <w:vAlign w:val="center"/>
          </w:tcPr>
          <w:p w:rsidRPr="00FA2047" w:rsidR="007B7B7F" w:rsidP="001B36EE" w:rsidRDefault="007B7B7F" w14:paraId="251C6446" w14:textId="77777777">
            <w:pPr>
              <w:spacing w:before="60" w:after="60"/>
              <w:jc w:val="center"/>
              <w:rPr>
                <w:rFonts w:ascii="Poppins" w:hAnsi="Poppins" w:eastAsia="Times New Roman" w:cs="Poppins"/>
                <w:b/>
                <w:bCs/>
                <w:sz w:val="20"/>
                <w:szCs w:val="20"/>
              </w:rPr>
            </w:pPr>
            <w:r w:rsidRPr="00FA2047">
              <w:rPr>
                <w:rFonts w:ascii="Poppins" w:hAnsi="Poppins" w:eastAsia="Times New Roman" w:cs="Poppins"/>
                <w:b/>
                <w:bCs/>
                <w:sz w:val="20"/>
                <w:szCs w:val="20"/>
              </w:rPr>
              <w:t>0.3</w:t>
            </w:r>
          </w:p>
        </w:tc>
      </w:tr>
      <w:tr w:rsidRPr="00C43185" w:rsidR="007B7B7F" w:rsidTr="00267D11" w14:paraId="717C9D77" w14:textId="77777777">
        <w:trPr>
          <w:trHeight w:val="454"/>
        </w:trPr>
        <w:tc>
          <w:tcPr>
            <w:tcW w:w="850" w:type="dxa"/>
            <w:shd w:val="clear" w:color="auto" w:fill="A4D6EF"/>
            <w:vAlign w:val="center"/>
          </w:tcPr>
          <w:p w:rsidRPr="007B7B7F" w:rsidR="007B7B7F" w:rsidP="001B36EE" w:rsidRDefault="007B7B7F" w14:paraId="1AC8F3B6" w14:textId="77777777">
            <w:pPr>
              <w:spacing w:before="60" w:after="60"/>
              <w:jc w:val="center"/>
              <w:rPr>
                <w:rFonts w:ascii="Poppins" w:hAnsi="Poppins" w:eastAsia="Times New Roman" w:cs="Poppins"/>
                <w:b/>
                <w:bCs/>
                <w:color w:val="000000" w:themeColor="text1"/>
                <w:sz w:val="20"/>
                <w:szCs w:val="20"/>
              </w:rPr>
            </w:pPr>
            <w:r w:rsidRPr="007B7B7F">
              <w:rPr>
                <w:rFonts w:ascii="Poppins" w:hAnsi="Poppins" w:eastAsia="Times New Roman" w:cs="Poppins"/>
                <w:b/>
                <w:bCs/>
                <w:color w:val="000000" w:themeColor="text1"/>
                <w:sz w:val="20"/>
                <w:szCs w:val="20"/>
              </w:rPr>
              <w:t>2</w:t>
            </w:r>
          </w:p>
        </w:tc>
        <w:tc>
          <w:tcPr>
            <w:tcW w:w="2268" w:type="dxa"/>
            <w:shd w:val="clear" w:color="auto" w:fill="F2F2F2"/>
            <w:vAlign w:val="center"/>
          </w:tcPr>
          <w:p w:rsidRPr="00931E2C" w:rsidR="007B7B7F" w:rsidP="001B36EE" w:rsidRDefault="007B7B7F" w14:paraId="2A3A543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3+3 = </w:t>
            </w:r>
            <w:r w:rsidRPr="00FA2047">
              <w:rPr>
                <w:rFonts w:ascii="Poppins" w:hAnsi="Poppins" w:eastAsia="Times New Roman" w:cs="Poppins"/>
                <w:b/>
                <w:bCs/>
                <w:sz w:val="20"/>
                <w:szCs w:val="20"/>
              </w:rPr>
              <w:t>6</w:t>
            </w:r>
          </w:p>
        </w:tc>
        <w:tc>
          <w:tcPr>
            <w:tcW w:w="1984" w:type="dxa"/>
            <w:shd w:val="clear" w:color="auto" w:fill="F2F2F2"/>
            <w:vAlign w:val="center"/>
          </w:tcPr>
          <w:p w:rsidRPr="00931E2C" w:rsidR="007B7B7F" w:rsidP="001B36EE" w:rsidRDefault="007B7B7F" w14:paraId="1ABDF703"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7B7B7F" w:rsidP="001B36EE" w:rsidRDefault="00FA2047" w14:paraId="04B9DB93" w14:textId="5AA24766">
            <w:pPr>
              <w:spacing w:before="60" w:after="60"/>
              <w:jc w:val="center"/>
              <w:rPr>
                <w:rFonts w:ascii="Poppins" w:hAnsi="Poppins" w:eastAsia="Times New Roman" w:cs="Poppins"/>
                <w:sz w:val="20"/>
                <w:szCs w:val="20"/>
              </w:rPr>
            </w:pPr>
            <w:r>
              <w:rPr>
                <w:rFonts w:ascii="Poppins" w:hAnsi="Poppins" w:eastAsia="Times New Roman" w:cs="Poppins"/>
                <w:sz w:val="20"/>
                <w:szCs w:val="20"/>
              </w:rPr>
              <w:t>6x21%=</w:t>
            </w:r>
            <w:r w:rsidRPr="00FA2047" w:rsidR="007B7B7F">
              <w:rPr>
                <w:rFonts w:ascii="Poppins" w:hAnsi="Poppins" w:eastAsia="Times New Roman" w:cs="Poppins"/>
                <w:b/>
                <w:bCs/>
                <w:sz w:val="20"/>
                <w:szCs w:val="20"/>
              </w:rPr>
              <w:t>1.3</w:t>
            </w:r>
          </w:p>
        </w:tc>
        <w:tc>
          <w:tcPr>
            <w:tcW w:w="1587" w:type="dxa"/>
            <w:shd w:val="clear" w:color="auto" w:fill="F2F2F2"/>
            <w:vAlign w:val="center"/>
          </w:tcPr>
          <w:p w:rsidRPr="00931E2C" w:rsidR="007B7B7F" w:rsidP="001B36EE" w:rsidRDefault="007B7B7F" w14:paraId="692953B1" w14:textId="0DDB13C4">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1.3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FA2047">
              <w:rPr>
                <w:rFonts w:ascii="Poppins" w:hAnsi="Poppins" w:eastAsia="Times New Roman" w:cs="Poppins"/>
                <w:b/>
                <w:bCs/>
                <w:sz w:val="20"/>
                <w:szCs w:val="20"/>
              </w:rPr>
              <w:t>1.6</w:t>
            </w:r>
          </w:p>
        </w:tc>
      </w:tr>
      <w:tr w:rsidRPr="00C43185" w:rsidR="007B7B7F" w:rsidTr="00267D11" w14:paraId="1AA528CB" w14:textId="77777777">
        <w:trPr>
          <w:trHeight w:val="454"/>
        </w:trPr>
        <w:tc>
          <w:tcPr>
            <w:tcW w:w="850" w:type="dxa"/>
            <w:shd w:val="clear" w:color="auto" w:fill="A4D6EF"/>
            <w:vAlign w:val="center"/>
          </w:tcPr>
          <w:p w:rsidRPr="007B7B7F" w:rsidR="007B7B7F" w:rsidP="001B36EE" w:rsidRDefault="007B7B7F" w14:paraId="54B1DB36" w14:textId="77777777">
            <w:pPr>
              <w:spacing w:before="60" w:after="60"/>
              <w:jc w:val="center"/>
              <w:rPr>
                <w:rFonts w:ascii="Poppins" w:hAnsi="Poppins" w:eastAsia="Times New Roman" w:cs="Poppins"/>
                <w:b/>
                <w:bCs/>
                <w:color w:val="000000" w:themeColor="text1"/>
                <w:sz w:val="20"/>
                <w:szCs w:val="20"/>
              </w:rPr>
            </w:pPr>
            <w:r w:rsidRPr="007B7B7F">
              <w:rPr>
                <w:rFonts w:ascii="Poppins" w:hAnsi="Poppins" w:eastAsia="Times New Roman" w:cs="Poppins"/>
                <w:b/>
                <w:bCs/>
                <w:color w:val="000000" w:themeColor="text1"/>
                <w:sz w:val="20"/>
                <w:szCs w:val="20"/>
              </w:rPr>
              <w:t>3</w:t>
            </w:r>
          </w:p>
        </w:tc>
        <w:tc>
          <w:tcPr>
            <w:tcW w:w="2268" w:type="dxa"/>
            <w:shd w:val="clear" w:color="auto" w:fill="F2F2F2"/>
            <w:vAlign w:val="center"/>
          </w:tcPr>
          <w:p w:rsidRPr="00931E2C" w:rsidR="007B7B7F" w:rsidP="001B36EE" w:rsidRDefault="007B7B7F" w14:paraId="46337F8F"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3+6 = </w:t>
            </w:r>
            <w:r w:rsidRPr="00FA2047">
              <w:rPr>
                <w:rFonts w:ascii="Poppins" w:hAnsi="Poppins" w:eastAsia="Times New Roman" w:cs="Poppins"/>
                <w:b/>
                <w:bCs/>
                <w:sz w:val="20"/>
                <w:szCs w:val="20"/>
              </w:rPr>
              <w:t>9</w:t>
            </w:r>
          </w:p>
        </w:tc>
        <w:tc>
          <w:tcPr>
            <w:tcW w:w="1984" w:type="dxa"/>
            <w:shd w:val="clear" w:color="auto" w:fill="F2F2F2"/>
            <w:vAlign w:val="center"/>
          </w:tcPr>
          <w:p w:rsidRPr="00931E2C" w:rsidR="007B7B7F" w:rsidP="001B36EE" w:rsidRDefault="007B7B7F" w14:paraId="40B15BB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7B7B7F" w:rsidP="001B36EE" w:rsidRDefault="00FA2047" w14:paraId="6F18D30C" w14:textId="14DB811F">
            <w:pPr>
              <w:spacing w:before="60" w:after="60"/>
              <w:jc w:val="center"/>
              <w:rPr>
                <w:rFonts w:ascii="Poppins" w:hAnsi="Poppins" w:eastAsia="Times New Roman" w:cs="Poppins"/>
                <w:sz w:val="20"/>
                <w:szCs w:val="20"/>
              </w:rPr>
            </w:pPr>
            <w:r>
              <w:rPr>
                <w:rFonts w:ascii="Poppins" w:hAnsi="Poppins" w:eastAsia="Times New Roman" w:cs="Poppins"/>
                <w:sz w:val="20"/>
                <w:szCs w:val="20"/>
              </w:rPr>
              <w:t>9x21%=</w:t>
            </w:r>
            <w:r w:rsidRPr="00FA2047" w:rsidR="007B7B7F">
              <w:rPr>
                <w:rFonts w:ascii="Poppins" w:hAnsi="Poppins" w:eastAsia="Times New Roman" w:cs="Poppins"/>
                <w:b/>
                <w:bCs/>
                <w:sz w:val="20"/>
                <w:szCs w:val="20"/>
              </w:rPr>
              <w:t>1.9</w:t>
            </w:r>
          </w:p>
        </w:tc>
        <w:tc>
          <w:tcPr>
            <w:tcW w:w="1587" w:type="dxa"/>
            <w:shd w:val="clear" w:color="auto" w:fill="F2F2F2"/>
            <w:vAlign w:val="center"/>
          </w:tcPr>
          <w:p w:rsidRPr="00931E2C" w:rsidR="007B7B7F" w:rsidP="001B36EE" w:rsidRDefault="007B7B7F" w14:paraId="26656374" w14:textId="2896B8E6">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1.9</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 xml:space="preserve">= </w:t>
            </w:r>
            <w:r w:rsidRPr="00FA2047">
              <w:rPr>
                <w:rFonts w:ascii="Poppins" w:hAnsi="Poppins" w:eastAsia="Times New Roman" w:cs="Poppins"/>
                <w:b/>
                <w:bCs/>
                <w:sz w:val="20"/>
                <w:szCs w:val="20"/>
              </w:rPr>
              <w:t>2.2</w:t>
            </w:r>
          </w:p>
        </w:tc>
      </w:tr>
      <w:tr w:rsidRPr="00C43185" w:rsidR="007B7B7F" w:rsidTr="00267D11" w14:paraId="1CC4BDA0" w14:textId="77777777">
        <w:trPr>
          <w:trHeight w:val="454"/>
        </w:trPr>
        <w:tc>
          <w:tcPr>
            <w:tcW w:w="850" w:type="dxa"/>
            <w:shd w:val="clear" w:color="auto" w:fill="A4D6EF"/>
            <w:vAlign w:val="center"/>
          </w:tcPr>
          <w:p w:rsidRPr="007B7B7F" w:rsidR="007B7B7F" w:rsidP="001B36EE" w:rsidRDefault="007B7B7F" w14:paraId="4D1AAA71" w14:textId="77777777">
            <w:pPr>
              <w:spacing w:before="60" w:after="60"/>
              <w:jc w:val="center"/>
              <w:rPr>
                <w:rFonts w:ascii="Poppins" w:hAnsi="Poppins" w:eastAsia="Times New Roman" w:cs="Poppins"/>
                <w:b/>
                <w:bCs/>
                <w:color w:val="000000" w:themeColor="text1"/>
                <w:sz w:val="20"/>
                <w:szCs w:val="20"/>
              </w:rPr>
            </w:pPr>
            <w:r w:rsidRPr="007B7B7F">
              <w:rPr>
                <w:rFonts w:ascii="Poppins" w:hAnsi="Poppins" w:eastAsia="Times New Roman" w:cs="Poppins"/>
                <w:b/>
                <w:bCs/>
                <w:color w:val="000000" w:themeColor="text1"/>
                <w:sz w:val="20"/>
                <w:szCs w:val="20"/>
              </w:rPr>
              <w:t>4</w:t>
            </w:r>
          </w:p>
        </w:tc>
        <w:tc>
          <w:tcPr>
            <w:tcW w:w="2268" w:type="dxa"/>
            <w:shd w:val="clear" w:color="auto" w:fill="F2F2F2"/>
            <w:vAlign w:val="center"/>
          </w:tcPr>
          <w:p w:rsidRPr="00931E2C" w:rsidR="007B7B7F" w:rsidP="001B36EE" w:rsidRDefault="007B7B7F" w14:paraId="1309A1D2"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3+9 = </w:t>
            </w:r>
            <w:r w:rsidRPr="00FA2047">
              <w:rPr>
                <w:rFonts w:ascii="Poppins" w:hAnsi="Poppins" w:eastAsia="Times New Roman" w:cs="Poppins"/>
                <w:b/>
                <w:bCs/>
                <w:sz w:val="20"/>
                <w:szCs w:val="20"/>
              </w:rPr>
              <w:t>12</w:t>
            </w:r>
          </w:p>
        </w:tc>
        <w:tc>
          <w:tcPr>
            <w:tcW w:w="1984" w:type="dxa"/>
            <w:shd w:val="clear" w:color="auto" w:fill="F2F2F2"/>
            <w:vAlign w:val="center"/>
          </w:tcPr>
          <w:p w:rsidRPr="00931E2C" w:rsidR="007B7B7F" w:rsidP="001B36EE" w:rsidRDefault="007B7B7F" w14:paraId="7391B6EC"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7B7B7F" w:rsidP="001B36EE" w:rsidRDefault="00FA2047" w14:paraId="3823806F" w14:textId="6B3D888B">
            <w:pPr>
              <w:spacing w:before="60" w:after="60"/>
              <w:jc w:val="center"/>
              <w:rPr>
                <w:rFonts w:ascii="Poppins" w:hAnsi="Poppins" w:eastAsia="Times New Roman" w:cs="Poppins"/>
                <w:sz w:val="20"/>
                <w:szCs w:val="20"/>
              </w:rPr>
            </w:pPr>
            <w:r>
              <w:rPr>
                <w:rFonts w:ascii="Poppins" w:hAnsi="Poppins" w:eastAsia="Times New Roman" w:cs="Poppins"/>
                <w:sz w:val="20"/>
                <w:szCs w:val="20"/>
              </w:rPr>
              <w:t>12x21%=</w:t>
            </w:r>
            <w:r w:rsidRPr="00FA2047" w:rsidR="007B7B7F">
              <w:rPr>
                <w:rFonts w:ascii="Poppins" w:hAnsi="Poppins" w:eastAsia="Times New Roman" w:cs="Poppins"/>
                <w:b/>
                <w:bCs/>
                <w:sz w:val="20"/>
                <w:szCs w:val="20"/>
              </w:rPr>
              <w:t>2.5</w:t>
            </w:r>
          </w:p>
        </w:tc>
        <w:tc>
          <w:tcPr>
            <w:tcW w:w="1587" w:type="dxa"/>
            <w:shd w:val="clear" w:color="auto" w:fill="F2F2F2"/>
            <w:vAlign w:val="center"/>
          </w:tcPr>
          <w:p w:rsidRPr="00931E2C" w:rsidR="007B7B7F" w:rsidP="001B36EE" w:rsidRDefault="007B7B7F" w14:paraId="4502F02D" w14:textId="3C5F218B">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2.5 =</w:t>
            </w:r>
            <w:r w:rsidR="00DD016B">
              <w:rPr>
                <w:rFonts w:ascii="Poppins" w:hAnsi="Poppins" w:eastAsia="Times New Roman" w:cs="Poppins"/>
                <w:sz w:val="20"/>
                <w:szCs w:val="20"/>
              </w:rPr>
              <w:t xml:space="preserve"> </w:t>
            </w:r>
            <w:r w:rsidRPr="00FA2047">
              <w:rPr>
                <w:rFonts w:ascii="Poppins" w:hAnsi="Poppins" w:eastAsia="Times New Roman" w:cs="Poppins"/>
                <w:b/>
                <w:bCs/>
                <w:sz w:val="20"/>
                <w:szCs w:val="20"/>
              </w:rPr>
              <w:t>2.8</w:t>
            </w:r>
          </w:p>
        </w:tc>
      </w:tr>
      <w:tr w:rsidRPr="00C43185" w:rsidR="007B7B7F" w:rsidTr="00267D11" w14:paraId="5433BF27" w14:textId="77777777">
        <w:trPr>
          <w:trHeight w:val="454"/>
        </w:trPr>
        <w:tc>
          <w:tcPr>
            <w:tcW w:w="850" w:type="dxa"/>
            <w:shd w:val="clear" w:color="auto" w:fill="A4D6EF"/>
            <w:vAlign w:val="center"/>
          </w:tcPr>
          <w:p w:rsidRPr="007B7B7F" w:rsidR="007B7B7F" w:rsidP="001B36EE" w:rsidRDefault="007B7B7F" w14:paraId="42AB5D58" w14:textId="77777777">
            <w:pPr>
              <w:spacing w:before="60" w:after="60"/>
              <w:jc w:val="center"/>
              <w:rPr>
                <w:rFonts w:ascii="Poppins" w:hAnsi="Poppins" w:eastAsia="Times New Roman" w:cs="Poppins"/>
                <w:b/>
                <w:bCs/>
                <w:color w:val="000000" w:themeColor="text1"/>
                <w:sz w:val="20"/>
                <w:szCs w:val="20"/>
              </w:rPr>
            </w:pPr>
            <w:r w:rsidRPr="007B7B7F">
              <w:rPr>
                <w:rFonts w:ascii="Poppins" w:hAnsi="Poppins" w:eastAsia="Times New Roman" w:cs="Poppins"/>
                <w:b/>
                <w:bCs/>
                <w:color w:val="000000" w:themeColor="text1"/>
                <w:sz w:val="20"/>
                <w:szCs w:val="20"/>
              </w:rPr>
              <w:t>5</w:t>
            </w:r>
          </w:p>
        </w:tc>
        <w:tc>
          <w:tcPr>
            <w:tcW w:w="2268" w:type="dxa"/>
            <w:shd w:val="clear" w:color="auto" w:fill="F2F2F2"/>
            <w:vAlign w:val="center"/>
          </w:tcPr>
          <w:p w:rsidRPr="00931E2C" w:rsidR="007B7B7F" w:rsidP="001B36EE" w:rsidRDefault="007B7B7F" w14:paraId="4328D7F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3+12 = </w:t>
            </w:r>
            <w:r w:rsidRPr="00FA2047">
              <w:rPr>
                <w:rFonts w:ascii="Poppins" w:hAnsi="Poppins" w:eastAsia="Times New Roman" w:cs="Poppins"/>
                <w:b/>
                <w:bCs/>
                <w:sz w:val="20"/>
                <w:szCs w:val="20"/>
              </w:rPr>
              <w:t>15</w:t>
            </w:r>
          </w:p>
        </w:tc>
        <w:tc>
          <w:tcPr>
            <w:tcW w:w="1984" w:type="dxa"/>
            <w:shd w:val="clear" w:color="auto" w:fill="F2F2F2"/>
            <w:vAlign w:val="center"/>
          </w:tcPr>
          <w:p w:rsidRPr="00931E2C" w:rsidR="007B7B7F" w:rsidP="001B36EE" w:rsidRDefault="007B7B7F" w14:paraId="10F277F3"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7B7B7F" w:rsidP="001B36EE" w:rsidRDefault="00FA2047" w14:paraId="40F06EDB" w14:textId="2BD98759">
            <w:pPr>
              <w:spacing w:before="60" w:after="60"/>
              <w:jc w:val="center"/>
              <w:rPr>
                <w:rFonts w:ascii="Poppins" w:hAnsi="Poppins" w:eastAsia="Times New Roman" w:cs="Poppins"/>
                <w:sz w:val="20"/>
                <w:szCs w:val="20"/>
              </w:rPr>
            </w:pPr>
            <w:r>
              <w:rPr>
                <w:rFonts w:ascii="Poppins" w:hAnsi="Poppins" w:eastAsia="Times New Roman" w:cs="Poppins"/>
                <w:sz w:val="20"/>
                <w:szCs w:val="20"/>
              </w:rPr>
              <w:t>15x21%=</w:t>
            </w:r>
            <w:r w:rsidRPr="00FA2047" w:rsidR="007B7B7F">
              <w:rPr>
                <w:rFonts w:ascii="Poppins" w:hAnsi="Poppins" w:eastAsia="Times New Roman" w:cs="Poppins"/>
                <w:b/>
                <w:bCs/>
                <w:sz w:val="20"/>
                <w:szCs w:val="20"/>
              </w:rPr>
              <w:t>3.2</w:t>
            </w:r>
          </w:p>
        </w:tc>
        <w:tc>
          <w:tcPr>
            <w:tcW w:w="1587" w:type="dxa"/>
            <w:shd w:val="clear" w:color="auto" w:fill="F2F2F2"/>
            <w:vAlign w:val="center"/>
          </w:tcPr>
          <w:p w:rsidRPr="00931E2C" w:rsidR="007B7B7F" w:rsidP="001B36EE" w:rsidRDefault="007B7B7F" w14:paraId="62D9AFA2" w14:textId="225BF1FC">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3.2 =</w:t>
            </w:r>
            <w:r w:rsidR="00DD016B">
              <w:rPr>
                <w:rFonts w:ascii="Poppins" w:hAnsi="Poppins" w:eastAsia="Times New Roman" w:cs="Poppins"/>
                <w:sz w:val="20"/>
                <w:szCs w:val="20"/>
              </w:rPr>
              <w:t xml:space="preserve"> </w:t>
            </w:r>
            <w:r w:rsidRPr="00FA2047">
              <w:rPr>
                <w:rFonts w:ascii="Poppins" w:hAnsi="Poppins" w:eastAsia="Times New Roman" w:cs="Poppins"/>
                <w:b/>
                <w:bCs/>
                <w:sz w:val="20"/>
                <w:szCs w:val="20"/>
              </w:rPr>
              <w:t>3.5</w:t>
            </w:r>
          </w:p>
        </w:tc>
      </w:tr>
    </w:tbl>
    <w:p w:rsidRPr="006A50D1" w:rsidR="007B7B7F" w:rsidP="001B36EE" w:rsidRDefault="007B7B7F" w14:paraId="546405AC" w14:textId="77777777">
      <w:pPr>
        <w:spacing w:after="120" w:line="240" w:lineRule="auto"/>
        <w:rPr>
          <w:rFonts w:ascii="Poppins" w:hAnsi="Poppins" w:eastAsia="Times New Roman" w:cs="Poppins"/>
          <w:sz w:val="18"/>
          <w:szCs w:val="18"/>
        </w:rPr>
      </w:pPr>
    </w:p>
    <w:tbl>
      <w:tblPr>
        <w:tblStyle w:val="TableGrid"/>
        <w:tblW w:w="8787" w:type="dxa"/>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5669"/>
        <w:gridCol w:w="1417"/>
        <w:gridCol w:w="1701"/>
      </w:tblGrid>
      <w:tr w:rsidRPr="00C43185" w:rsidR="008D76EF" w:rsidTr="00267D11" w14:paraId="7EEBEBAA" w14:textId="77777777">
        <w:trPr>
          <w:trHeight w:val="1020"/>
        </w:trPr>
        <w:tc>
          <w:tcPr>
            <w:tcW w:w="8787" w:type="dxa"/>
            <w:gridSpan w:val="3"/>
            <w:shd w:val="clear" w:color="auto" w:fill="FF5000"/>
            <w:vAlign w:val="center"/>
          </w:tcPr>
          <w:p w:rsidRPr="007B7B7F" w:rsidR="008D76EF" w:rsidP="001B36EE" w:rsidRDefault="008D76EF" w14:paraId="04424F61" w14:textId="77777777">
            <w:pPr>
              <w:spacing w:before="120"/>
              <w:jc w:val="center"/>
              <w:rPr>
                <w:rFonts w:ascii="Poppins" w:hAnsi="Poppins" w:eastAsia="Times New Roman" w:cs="Poppins"/>
                <w:color w:val="FFFFFF" w:themeColor="background1"/>
              </w:rPr>
            </w:pPr>
            <w:r w:rsidRPr="007B7B7F">
              <w:rPr>
                <w:rFonts w:ascii="Poppins" w:hAnsi="Poppins" w:eastAsia="Times New Roman" w:cs="Poppins"/>
                <w:color w:val="FFFFFF" w:themeColor="background1"/>
              </w:rPr>
              <w:t xml:space="preserve">If </w:t>
            </w:r>
            <w:r w:rsidRPr="007B7B7F">
              <w:rPr>
                <w:rFonts w:ascii="Poppins" w:hAnsi="Poppins" w:eastAsia="Times New Roman" w:cs="Poppins"/>
                <w:b/>
                <w:bCs/>
                <w:color w:val="FFFFFF" w:themeColor="background1"/>
              </w:rPr>
              <w:t>100</w:t>
            </w:r>
            <w:r w:rsidRPr="007B7B7F">
              <w:rPr>
                <w:rFonts w:ascii="Poppins" w:hAnsi="Poppins" w:eastAsia="Times New Roman" w:cs="Poppins"/>
                <w:color w:val="FFFFFF" w:themeColor="background1"/>
              </w:rPr>
              <w:t xml:space="preserve"> first-degree relatives are auto-antibody tested via ad hoc testing by clinical teams</w:t>
            </w:r>
          </w:p>
        </w:tc>
      </w:tr>
      <w:tr w:rsidRPr="00C43185" w:rsidR="008D76EF" w:rsidTr="00267D11" w14:paraId="40D8362D" w14:textId="77777777">
        <w:trPr>
          <w:trHeight w:val="680"/>
        </w:trPr>
        <w:tc>
          <w:tcPr>
            <w:tcW w:w="5669" w:type="dxa"/>
            <w:shd w:val="clear" w:color="auto" w:fill="FFA780"/>
            <w:vAlign w:val="center"/>
          </w:tcPr>
          <w:p w:rsidRPr="00931E2C" w:rsidR="008D76EF" w:rsidP="001B36EE" w:rsidRDefault="008D76EF" w14:paraId="3BBCD823" w14:textId="77777777">
            <w:pPr>
              <w:spacing w:before="60" w:after="60"/>
              <w:rPr>
                <w:rFonts w:ascii="Poppins" w:hAnsi="Poppins" w:eastAsia="Times New Roman" w:cs="Poppins"/>
                <w:sz w:val="20"/>
                <w:szCs w:val="20"/>
              </w:rPr>
            </w:pPr>
          </w:p>
        </w:tc>
        <w:tc>
          <w:tcPr>
            <w:tcW w:w="1417" w:type="dxa"/>
            <w:shd w:val="clear" w:color="auto" w:fill="FFA780"/>
            <w:vAlign w:val="center"/>
          </w:tcPr>
          <w:p w:rsidRPr="00931E2C" w:rsidR="008D76EF" w:rsidP="001B36EE" w:rsidRDefault="008D76EF" w14:paraId="56BC8876"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w:t>
            </w:r>
          </w:p>
        </w:tc>
        <w:tc>
          <w:tcPr>
            <w:tcW w:w="1701" w:type="dxa"/>
            <w:shd w:val="clear" w:color="auto" w:fill="FFA780"/>
            <w:vAlign w:val="center"/>
          </w:tcPr>
          <w:p w:rsidRPr="00931E2C" w:rsidR="008D76EF" w:rsidP="001B36EE" w:rsidRDefault="008D76EF" w14:paraId="19CBF73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Numbers of patients</w:t>
            </w:r>
          </w:p>
        </w:tc>
      </w:tr>
      <w:tr w:rsidRPr="00C43185" w:rsidR="008D76EF" w:rsidTr="00267D11" w14:paraId="2EB5756F" w14:textId="77777777">
        <w:trPr>
          <w:trHeight w:val="454"/>
        </w:trPr>
        <w:tc>
          <w:tcPr>
            <w:tcW w:w="5669" w:type="dxa"/>
            <w:shd w:val="clear" w:color="auto" w:fill="F2F2F2"/>
            <w:vAlign w:val="center"/>
          </w:tcPr>
          <w:p w:rsidRPr="00931E2C" w:rsidR="008D76EF" w:rsidP="001B36EE" w:rsidRDefault="008D76EF" w14:paraId="41A3287A" w14:textId="77777777">
            <w:pPr>
              <w:spacing w:before="60" w:after="60"/>
              <w:rPr>
                <w:rFonts w:ascii="Poppins" w:hAnsi="Poppins" w:eastAsia="Times New Roman" w:cs="Poppins"/>
                <w:sz w:val="20"/>
                <w:szCs w:val="20"/>
              </w:rPr>
            </w:pPr>
            <w:r w:rsidRPr="00931E2C">
              <w:rPr>
                <w:rFonts w:ascii="Poppins" w:hAnsi="Poppins" w:eastAsia="Times New Roman" w:cs="Poppins"/>
                <w:sz w:val="20"/>
                <w:szCs w:val="20"/>
              </w:rPr>
              <w:t>2 or more auto-antibodies (</w:t>
            </w:r>
            <w:r w:rsidRPr="004E6766">
              <w:rPr>
                <w:rFonts w:ascii="Poppins" w:hAnsi="Poppins" w:eastAsia="Times New Roman" w:cs="Poppins"/>
                <w:b/>
                <w:bCs/>
                <w:sz w:val="20"/>
                <w:szCs w:val="20"/>
              </w:rPr>
              <w:t>Stage 1</w:t>
            </w:r>
            <w:r w:rsidRPr="00931E2C">
              <w:rPr>
                <w:rFonts w:ascii="Poppins" w:hAnsi="Poppins" w:eastAsia="Times New Roman" w:cs="Poppins"/>
                <w:sz w:val="20"/>
                <w:szCs w:val="20"/>
              </w:rPr>
              <w:t>)</w:t>
            </w:r>
            <w:r w:rsidRPr="00931E2C">
              <w:rPr>
                <w:rFonts w:ascii="Poppins" w:hAnsi="Poppins" w:eastAsia="Times New Roman" w:cs="Poppins"/>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931E2C">
              <w:rPr>
                <w:rFonts w:ascii="Poppins" w:hAnsi="Poppins" w:eastAsia="Times New Roman" w:cs="Poppins"/>
                <w:sz w:val="20"/>
                <w:szCs w:val="20"/>
                <w:vertAlign w:val="superscript"/>
              </w:rPr>
              <w:instrText xml:space="preserve"> ADDIN EN.CITE </w:instrText>
            </w:r>
            <w:r w:rsidRPr="00931E2C">
              <w:rPr>
                <w:rFonts w:ascii="Poppins" w:hAnsi="Poppins" w:eastAsia="Times New Roman" w:cs="Poppins"/>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931E2C">
              <w:rPr>
                <w:rFonts w:ascii="Poppins" w:hAnsi="Poppins" w:eastAsia="Times New Roman" w:cs="Poppins"/>
                <w:sz w:val="20"/>
                <w:szCs w:val="20"/>
                <w:vertAlign w:val="superscript"/>
              </w:rPr>
              <w:instrText xml:space="preserve"> ADDIN EN.CITE.DATA </w:instrText>
            </w:r>
            <w:r w:rsidRPr="00931E2C">
              <w:rPr>
                <w:rFonts w:ascii="Poppins" w:hAnsi="Poppins" w:eastAsia="Times New Roman" w:cs="Poppins"/>
                <w:sz w:val="20"/>
                <w:szCs w:val="20"/>
                <w:vertAlign w:val="superscript"/>
              </w:rPr>
            </w:r>
            <w:r w:rsidRPr="00931E2C">
              <w:rPr>
                <w:rFonts w:ascii="Poppins" w:hAnsi="Poppins" w:eastAsia="Times New Roman" w:cs="Poppins"/>
                <w:sz w:val="20"/>
                <w:szCs w:val="20"/>
                <w:vertAlign w:val="superscript"/>
              </w:rPr>
              <w:fldChar w:fldCharType="end"/>
            </w:r>
            <w:r w:rsidRPr="00931E2C">
              <w:rPr>
                <w:rFonts w:ascii="Poppins" w:hAnsi="Poppins" w:eastAsia="Times New Roman" w:cs="Poppins"/>
                <w:sz w:val="20"/>
                <w:szCs w:val="20"/>
                <w:vertAlign w:val="superscript"/>
              </w:rPr>
            </w:r>
            <w:r w:rsidRPr="00931E2C">
              <w:rPr>
                <w:rFonts w:ascii="Poppins" w:hAnsi="Poppins" w:eastAsia="Times New Roman" w:cs="Poppins"/>
                <w:sz w:val="20"/>
                <w:szCs w:val="20"/>
                <w:vertAlign w:val="superscript"/>
              </w:rPr>
              <w:fldChar w:fldCharType="separate"/>
            </w:r>
            <w:r w:rsidRPr="00931E2C">
              <w:rPr>
                <w:rFonts w:ascii="Poppins" w:hAnsi="Poppins" w:eastAsia="Times New Roman" w:cs="Poppins"/>
                <w:sz w:val="20"/>
                <w:szCs w:val="20"/>
                <w:vertAlign w:val="superscript"/>
              </w:rPr>
              <w:t>(Sims, 2022)</w:t>
            </w:r>
            <w:r w:rsidRPr="00931E2C">
              <w:rPr>
                <w:rFonts w:ascii="Poppins" w:hAnsi="Poppins" w:eastAsia="Times New Roman" w:cs="Poppins"/>
                <w:sz w:val="20"/>
                <w:szCs w:val="20"/>
                <w:vertAlign w:val="superscript"/>
              </w:rPr>
              <w:fldChar w:fldCharType="end"/>
            </w:r>
          </w:p>
        </w:tc>
        <w:tc>
          <w:tcPr>
            <w:tcW w:w="1417" w:type="dxa"/>
            <w:shd w:val="clear" w:color="auto" w:fill="F2F2F2"/>
            <w:vAlign w:val="center"/>
          </w:tcPr>
          <w:p w:rsidRPr="004E6766" w:rsidR="008D76EF" w:rsidP="001B36EE" w:rsidRDefault="008D76EF" w14:paraId="2B5498C7" w14:textId="77777777">
            <w:pPr>
              <w:spacing w:before="60" w:after="60"/>
              <w:jc w:val="center"/>
              <w:rPr>
                <w:rFonts w:ascii="Poppins" w:hAnsi="Poppins" w:eastAsia="Times New Roman" w:cs="Poppins"/>
                <w:b/>
                <w:bCs/>
                <w:sz w:val="20"/>
                <w:szCs w:val="20"/>
              </w:rPr>
            </w:pPr>
            <w:r w:rsidRPr="004E6766">
              <w:rPr>
                <w:rFonts w:ascii="Poppins" w:hAnsi="Poppins" w:eastAsia="Times New Roman" w:cs="Poppins"/>
                <w:b/>
                <w:bCs/>
                <w:sz w:val="20"/>
                <w:szCs w:val="20"/>
              </w:rPr>
              <w:t>2.6</w:t>
            </w:r>
          </w:p>
        </w:tc>
        <w:tc>
          <w:tcPr>
            <w:tcW w:w="1701" w:type="dxa"/>
            <w:shd w:val="clear" w:color="auto" w:fill="F2F2F2"/>
            <w:vAlign w:val="center"/>
          </w:tcPr>
          <w:p w:rsidRPr="00931E2C" w:rsidR="008D76EF" w:rsidP="001B36EE" w:rsidRDefault="008D76EF" w14:paraId="6775D691"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3</w:t>
            </w:r>
          </w:p>
        </w:tc>
      </w:tr>
      <w:tr w:rsidRPr="00C43185" w:rsidR="008D76EF" w:rsidTr="00267D11" w14:paraId="39D7E96B" w14:textId="77777777">
        <w:trPr>
          <w:trHeight w:val="454"/>
        </w:trPr>
        <w:tc>
          <w:tcPr>
            <w:tcW w:w="5669" w:type="dxa"/>
            <w:shd w:val="clear" w:color="auto" w:fill="F2F2F2"/>
            <w:vAlign w:val="center"/>
          </w:tcPr>
          <w:p w:rsidRPr="00931E2C" w:rsidR="008D76EF" w:rsidP="001B36EE" w:rsidRDefault="008D76EF" w14:paraId="0266E75D" w14:textId="77777777">
            <w:pPr>
              <w:spacing w:before="60" w:after="60"/>
              <w:rPr>
                <w:rFonts w:ascii="Poppins" w:hAnsi="Poppins" w:eastAsia="Times New Roman" w:cs="Poppins"/>
                <w:sz w:val="20"/>
                <w:szCs w:val="20"/>
              </w:rPr>
            </w:pPr>
            <w:r w:rsidRPr="00931E2C">
              <w:rPr>
                <w:rFonts w:ascii="Poppins" w:hAnsi="Poppins" w:eastAsia="Times New Roman" w:cs="Poppins"/>
                <w:sz w:val="20"/>
                <w:szCs w:val="20"/>
              </w:rPr>
              <w:t>Dysglycaemia detected (</w:t>
            </w:r>
            <w:r w:rsidRPr="004E6766">
              <w:rPr>
                <w:rFonts w:ascii="Poppins" w:hAnsi="Poppins" w:eastAsia="Times New Roman" w:cs="Poppins"/>
                <w:b/>
                <w:bCs/>
                <w:sz w:val="20"/>
                <w:szCs w:val="20"/>
              </w:rPr>
              <w:t>Stage 2</w:t>
            </w:r>
            <w:r w:rsidRPr="00931E2C">
              <w:rPr>
                <w:rFonts w:ascii="Poppins" w:hAnsi="Poppins" w:eastAsia="Times New Roman" w:cs="Poppins"/>
                <w:sz w:val="20"/>
                <w:szCs w:val="20"/>
              </w:rPr>
              <w:t>)</w:t>
            </w:r>
            <w:r w:rsidRPr="00931E2C">
              <w:rPr>
                <w:rFonts w:ascii="Poppins" w:hAnsi="Poppins" w:eastAsia="Times New Roman" w:cs="Poppins"/>
                <w:sz w:val="20"/>
                <w:szCs w:val="20"/>
                <w:vertAlign w:val="superscript"/>
              </w:rPr>
              <w:fldChar w:fldCharType="begin"/>
            </w:r>
            <w:r w:rsidRPr="00931E2C">
              <w:rPr>
                <w:rFonts w:ascii="Poppins" w:hAnsi="Poppins" w:eastAsia="Times New Roman" w:cs="Poppins"/>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931E2C">
              <w:rPr>
                <w:rFonts w:ascii="Poppins" w:hAnsi="Poppins" w:eastAsia="Times New Roman" w:cs="Poppins"/>
                <w:sz w:val="20"/>
                <w:szCs w:val="20"/>
                <w:vertAlign w:val="superscript"/>
              </w:rPr>
              <w:fldChar w:fldCharType="separate"/>
            </w:r>
            <w:r w:rsidRPr="00931E2C">
              <w:rPr>
                <w:rFonts w:ascii="Poppins" w:hAnsi="Poppins" w:eastAsia="Times New Roman" w:cs="Poppins"/>
                <w:sz w:val="20"/>
                <w:szCs w:val="20"/>
                <w:vertAlign w:val="superscript"/>
              </w:rPr>
              <w:t>(Quinn, 2023)</w:t>
            </w:r>
            <w:r w:rsidRPr="00931E2C">
              <w:rPr>
                <w:rFonts w:ascii="Poppins" w:hAnsi="Poppins" w:eastAsia="Times New Roman" w:cs="Poppins"/>
                <w:sz w:val="20"/>
                <w:szCs w:val="20"/>
                <w:vertAlign w:val="superscript"/>
              </w:rPr>
              <w:fldChar w:fldCharType="end"/>
            </w:r>
          </w:p>
        </w:tc>
        <w:tc>
          <w:tcPr>
            <w:tcW w:w="1417" w:type="dxa"/>
            <w:shd w:val="clear" w:color="auto" w:fill="F2F2F2"/>
            <w:vAlign w:val="center"/>
          </w:tcPr>
          <w:p w:rsidRPr="004E6766" w:rsidR="008D76EF" w:rsidP="001B36EE" w:rsidRDefault="008D76EF" w14:paraId="40C68B90" w14:textId="77777777">
            <w:pPr>
              <w:spacing w:before="60" w:after="60"/>
              <w:jc w:val="center"/>
              <w:rPr>
                <w:rFonts w:ascii="Poppins" w:hAnsi="Poppins" w:eastAsia="Times New Roman" w:cs="Poppins"/>
                <w:b/>
                <w:bCs/>
                <w:sz w:val="20"/>
                <w:szCs w:val="20"/>
              </w:rPr>
            </w:pPr>
            <w:r w:rsidRPr="004E6766">
              <w:rPr>
                <w:rFonts w:ascii="Poppins" w:hAnsi="Poppins" w:eastAsia="Times New Roman" w:cs="Poppins"/>
                <w:b/>
                <w:bCs/>
                <w:sz w:val="20"/>
                <w:szCs w:val="20"/>
              </w:rPr>
              <w:t>10</w:t>
            </w:r>
          </w:p>
        </w:tc>
        <w:tc>
          <w:tcPr>
            <w:tcW w:w="1701" w:type="dxa"/>
            <w:shd w:val="clear" w:color="auto" w:fill="F2F2F2"/>
            <w:vAlign w:val="center"/>
          </w:tcPr>
          <w:p w:rsidRPr="00931E2C" w:rsidR="008D76EF" w:rsidP="001B36EE" w:rsidRDefault="008D76EF" w14:paraId="1BE4F6AC"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r>
    </w:tbl>
    <w:p w:rsidR="00267D11" w:rsidP="001B36EE" w:rsidRDefault="008D76EF" w14:paraId="13715CC5" w14:textId="7F00BCF1">
      <w:pPr>
        <w:spacing w:before="240" w:after="240" w:line="240" w:lineRule="auto"/>
        <w:rPr>
          <w:rFonts w:ascii="Poppins" w:hAnsi="Poppins" w:eastAsia="Times New Roman" w:cs="Poppins"/>
          <w:sz w:val="20"/>
          <w:szCs w:val="20"/>
        </w:rPr>
      </w:pPr>
      <w:r w:rsidRPr="00931E2C">
        <w:rPr>
          <w:rFonts w:ascii="Poppins" w:hAnsi="Poppins" w:eastAsia="Times New Roman" w:cs="Poppins"/>
          <w:sz w:val="20"/>
          <w:szCs w:val="20"/>
        </w:rPr>
        <w:t xml:space="preserve">Based on the above table, expected number of people who may be eligible for teplizumab per 1 million population, if 100 people with </w:t>
      </w:r>
      <w:proofErr w:type="gramStart"/>
      <w:r w:rsidRPr="00931E2C">
        <w:rPr>
          <w:rFonts w:ascii="Poppins" w:hAnsi="Poppins" w:eastAsia="Times New Roman" w:cs="Poppins"/>
          <w:sz w:val="20"/>
          <w:szCs w:val="20"/>
        </w:rPr>
        <w:t>a</w:t>
      </w:r>
      <w:proofErr w:type="gramEnd"/>
      <w:r w:rsidRPr="00931E2C">
        <w:rPr>
          <w:rFonts w:ascii="Poppins" w:hAnsi="Poppins" w:eastAsia="Times New Roman" w:cs="Poppins"/>
          <w:sz w:val="20"/>
          <w:szCs w:val="20"/>
        </w:rPr>
        <w:t xml:space="preserve"> FDR were auto-antibody tested via ad-hoc testing by clinical teams:</w:t>
      </w:r>
    </w:p>
    <w:tbl>
      <w:tblPr>
        <w:tblStyle w:val="TableGrid"/>
        <w:tblW w:w="8787" w:type="dxa"/>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850"/>
        <w:gridCol w:w="2268"/>
        <w:gridCol w:w="1984"/>
        <w:gridCol w:w="2098"/>
        <w:gridCol w:w="1587"/>
      </w:tblGrid>
      <w:tr w:rsidRPr="00C43185" w:rsidR="008D76EF" w:rsidTr="00267D11" w14:paraId="668E31AB" w14:textId="77777777">
        <w:trPr>
          <w:trHeight w:val="2054"/>
        </w:trPr>
        <w:tc>
          <w:tcPr>
            <w:tcW w:w="850" w:type="dxa"/>
            <w:shd w:val="clear" w:color="auto" w:fill="FF5000"/>
            <w:vAlign w:val="center"/>
          </w:tcPr>
          <w:p w:rsidRPr="00267D11" w:rsidR="008D76EF" w:rsidP="001B36EE" w:rsidRDefault="008D76EF" w14:paraId="675E1B8B" w14:textId="77777777">
            <w:pPr>
              <w:spacing w:before="120"/>
              <w:jc w:val="center"/>
              <w:rPr>
                <w:rFonts w:ascii="Poppins" w:hAnsi="Poppins" w:eastAsia="Times New Roman" w:cs="Poppins"/>
                <w:color w:val="FFFFFF" w:themeColor="background1"/>
                <w:sz w:val="20"/>
                <w:szCs w:val="20"/>
              </w:rPr>
            </w:pPr>
            <w:r w:rsidRPr="00267D11">
              <w:rPr>
                <w:rFonts w:ascii="Poppins" w:hAnsi="Poppins" w:eastAsia="Times New Roman" w:cs="Poppins"/>
                <w:color w:val="FFFFFF" w:themeColor="background1"/>
                <w:sz w:val="20"/>
                <w:szCs w:val="20"/>
              </w:rPr>
              <w:t>Year</w:t>
            </w:r>
          </w:p>
        </w:tc>
        <w:tc>
          <w:tcPr>
            <w:tcW w:w="2268" w:type="dxa"/>
            <w:shd w:val="clear" w:color="auto" w:fill="FF5000"/>
            <w:vAlign w:val="center"/>
          </w:tcPr>
          <w:p w:rsidRPr="00267D11" w:rsidR="008D76EF" w:rsidP="001B36EE" w:rsidRDefault="008D76EF" w14:paraId="2053A2A7" w14:textId="5F74DB58">
            <w:pPr>
              <w:spacing w:before="120"/>
              <w:jc w:val="center"/>
              <w:rPr>
                <w:rFonts w:ascii="Poppins" w:hAnsi="Poppins" w:eastAsia="Times New Roman" w:cs="Poppins"/>
                <w:color w:val="FFFFFF" w:themeColor="background1"/>
                <w:sz w:val="20"/>
                <w:szCs w:val="20"/>
              </w:rPr>
            </w:pPr>
            <w:r w:rsidRPr="00267D11">
              <w:rPr>
                <w:rFonts w:ascii="Poppins" w:hAnsi="Poppins" w:eastAsia="Times New Roman" w:cs="Poppins"/>
                <w:color w:val="FFFFFF" w:themeColor="background1"/>
                <w:sz w:val="20"/>
                <w:szCs w:val="20"/>
              </w:rPr>
              <w:t>Stage 1 people detected cumulative</w:t>
            </w:r>
            <w:r w:rsidRPr="00267D11" w:rsidR="00267D11">
              <w:rPr>
                <w:rFonts w:ascii="Poppins" w:hAnsi="Poppins" w:eastAsia="Times New Roman" w:cs="Poppins"/>
                <w:color w:val="FFFFFF" w:themeColor="background1"/>
                <w:sz w:val="20"/>
                <w:szCs w:val="20"/>
              </w:rPr>
              <w:br/>
            </w:r>
            <w:r w:rsidRPr="00267D11">
              <w:rPr>
                <w:rFonts w:ascii="Poppins" w:hAnsi="Poppins" w:eastAsia="Times New Roman" w:cs="Poppins"/>
                <w:color w:val="FFFFFF" w:themeColor="background1"/>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267D11">
              <w:rPr>
                <w:rFonts w:ascii="Poppins" w:hAnsi="Poppins" w:eastAsia="Times New Roman" w:cs="Poppins"/>
                <w:color w:val="FFFFFF" w:themeColor="background1"/>
                <w:sz w:val="20"/>
                <w:szCs w:val="20"/>
                <w:vertAlign w:val="superscript"/>
              </w:rPr>
              <w:instrText xml:space="preserve"> ADDIN EN.CITE </w:instrText>
            </w:r>
            <w:r w:rsidRPr="00267D11">
              <w:rPr>
                <w:rFonts w:ascii="Poppins" w:hAnsi="Poppins" w:eastAsia="Times New Roman" w:cs="Poppins"/>
                <w:color w:val="FFFFFF" w:themeColor="background1"/>
                <w:sz w:val="20"/>
                <w:szCs w:val="20"/>
                <w:vertAlign w:val="superscript"/>
              </w:rPr>
              <w:fldChar w:fldCharType="begin">
                <w:fldData xml:space="preserve">PEVuZE5vdGU+PENpdGU+PEF1dGhvcj5TaW1zPC9BdXRob3I+PFllYXI+MjAyMjwvWWVhcj48UmVj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==
</w:fldData>
              </w:fldChar>
            </w:r>
            <w:r w:rsidRPr="00267D11">
              <w:rPr>
                <w:rFonts w:ascii="Poppins" w:hAnsi="Poppins" w:eastAsia="Times New Roman" w:cs="Poppins"/>
                <w:color w:val="FFFFFF" w:themeColor="background1"/>
                <w:sz w:val="20"/>
                <w:szCs w:val="20"/>
                <w:vertAlign w:val="superscript"/>
              </w:rPr>
              <w:instrText xml:space="preserve"> ADDIN EN.CITE.DATA </w:instrText>
            </w:r>
            <w:r w:rsidRPr="00267D11">
              <w:rPr>
                <w:rFonts w:ascii="Poppins" w:hAnsi="Poppins" w:eastAsia="Times New Roman" w:cs="Poppins"/>
                <w:color w:val="FFFFFF" w:themeColor="background1"/>
                <w:sz w:val="20"/>
                <w:szCs w:val="20"/>
                <w:vertAlign w:val="superscript"/>
              </w:rPr>
            </w:r>
            <w:r w:rsidRPr="00267D11">
              <w:rPr>
                <w:rFonts w:ascii="Poppins" w:hAnsi="Poppins" w:eastAsia="Times New Roman" w:cs="Poppins"/>
                <w:color w:val="FFFFFF" w:themeColor="background1"/>
                <w:sz w:val="20"/>
                <w:szCs w:val="20"/>
                <w:vertAlign w:val="superscript"/>
              </w:rPr>
              <w:fldChar w:fldCharType="end"/>
            </w:r>
            <w:r w:rsidRPr="00267D11">
              <w:rPr>
                <w:rFonts w:ascii="Poppins" w:hAnsi="Poppins" w:eastAsia="Times New Roman" w:cs="Poppins"/>
                <w:color w:val="FFFFFF" w:themeColor="background1"/>
                <w:sz w:val="20"/>
                <w:szCs w:val="20"/>
                <w:vertAlign w:val="superscript"/>
              </w:rPr>
            </w:r>
            <w:r w:rsidRPr="00267D11">
              <w:rPr>
                <w:rFonts w:ascii="Poppins" w:hAnsi="Poppins" w:eastAsia="Times New Roman" w:cs="Poppins"/>
                <w:color w:val="FFFFFF" w:themeColor="background1"/>
                <w:sz w:val="20"/>
                <w:szCs w:val="20"/>
                <w:vertAlign w:val="superscript"/>
              </w:rPr>
              <w:fldChar w:fldCharType="separate"/>
            </w:r>
            <w:r w:rsidRPr="00267D11">
              <w:rPr>
                <w:rFonts w:ascii="Poppins" w:hAnsi="Poppins" w:eastAsia="Times New Roman" w:cs="Poppins"/>
                <w:color w:val="FFFFFF" w:themeColor="background1"/>
                <w:sz w:val="20"/>
                <w:szCs w:val="20"/>
                <w:vertAlign w:val="superscript"/>
              </w:rPr>
              <w:t>(Sims, 2022)</w:t>
            </w:r>
            <w:r w:rsidRPr="00267D11">
              <w:rPr>
                <w:rFonts w:ascii="Poppins" w:hAnsi="Poppins" w:eastAsia="Times New Roman" w:cs="Poppins"/>
                <w:color w:val="FFFFFF" w:themeColor="background1"/>
                <w:sz w:val="20"/>
                <w:szCs w:val="20"/>
                <w:vertAlign w:val="superscript"/>
              </w:rPr>
              <w:fldChar w:fldCharType="end"/>
            </w:r>
          </w:p>
        </w:tc>
        <w:tc>
          <w:tcPr>
            <w:tcW w:w="1984" w:type="dxa"/>
            <w:shd w:val="clear" w:color="auto" w:fill="FF5000"/>
            <w:vAlign w:val="center"/>
          </w:tcPr>
          <w:p w:rsidRPr="00267D11" w:rsidR="008D76EF" w:rsidP="001B36EE" w:rsidRDefault="008D76EF" w14:paraId="43939D83" w14:textId="5CF034C6">
            <w:pPr>
              <w:spacing w:before="120"/>
              <w:jc w:val="center"/>
              <w:rPr>
                <w:rFonts w:ascii="Poppins" w:hAnsi="Poppins" w:eastAsia="Times New Roman" w:cs="Poppins"/>
                <w:color w:val="FFFFFF" w:themeColor="background1"/>
                <w:sz w:val="20"/>
                <w:szCs w:val="20"/>
              </w:rPr>
            </w:pPr>
            <w:r w:rsidRPr="00267D11">
              <w:rPr>
                <w:rFonts w:ascii="Poppins" w:hAnsi="Poppins" w:eastAsia="Times New Roman" w:cs="Poppins"/>
                <w:color w:val="FFFFFF" w:themeColor="background1"/>
                <w:sz w:val="20"/>
                <w:szCs w:val="20"/>
              </w:rPr>
              <w:t xml:space="preserve">Stage 2 people detected </w:t>
            </w:r>
            <w:r w:rsidR="00267D11">
              <w:rPr>
                <w:rFonts w:ascii="Poppins" w:hAnsi="Poppins" w:eastAsia="Times New Roman" w:cs="Poppins"/>
                <w:color w:val="FFFFFF" w:themeColor="background1"/>
                <w:sz w:val="20"/>
                <w:szCs w:val="20"/>
              </w:rPr>
              <w:br/>
            </w:r>
            <w:r w:rsidRPr="00267D11">
              <w:rPr>
                <w:rFonts w:ascii="Poppins" w:hAnsi="Poppins" w:eastAsia="Times New Roman" w:cs="Poppins"/>
                <w:color w:val="FFFFFF" w:themeColor="background1"/>
                <w:sz w:val="20"/>
                <w:szCs w:val="20"/>
              </w:rPr>
              <w:t>EACH year</w:t>
            </w:r>
            <w:r w:rsidR="00BC08D9">
              <w:rPr>
                <w:rFonts w:ascii="Poppins" w:hAnsi="Poppins" w:eastAsia="Times New Roman" w:cs="Poppins"/>
                <w:color w:val="FFFFFF" w:themeColor="background1"/>
                <w:sz w:val="20"/>
                <w:szCs w:val="20"/>
              </w:rPr>
              <w:t xml:space="preserve"> (10% of Stage 1)</w:t>
            </w:r>
            <w:r w:rsidRPr="00267D11">
              <w:rPr>
                <w:rFonts w:ascii="Poppins" w:hAnsi="Poppins" w:eastAsia="Times New Roman" w:cs="Poppins"/>
                <w:color w:val="FFFFFF" w:themeColor="background1"/>
                <w:sz w:val="20"/>
                <w:szCs w:val="20"/>
                <w:vertAlign w:val="superscript"/>
              </w:rPr>
              <w:fldChar w:fldCharType="begin"/>
            </w:r>
            <w:r w:rsidRPr="00267D11">
              <w:rPr>
                <w:rFonts w:ascii="Poppins" w:hAnsi="Poppins" w:eastAsia="Times New Roman" w:cs="Poppins"/>
                <w:color w:val="FFFFFF" w:themeColor="background1"/>
                <w:sz w:val="20"/>
                <w:szCs w:val="20"/>
                <w:vertAlign w:val="superscript"/>
              </w:rPr>
              <w:instrText xml:space="preserve"> ADDIN EN.CITE &lt;EndNote&gt;&lt;Cite&gt;&lt;Author&gt;Quinn&lt;/Author&gt;&lt;Year&gt;2023&lt;/Year&gt;&lt;RecNum&gt;29456&lt;/RecNum&gt;&lt;DisplayText&gt;&lt;style face="superscript"&gt;(Quinn, 2023)&lt;/style&gt;&lt;/DisplayText&gt;&lt;record&gt;&lt;rec-number&gt;29456&lt;/rec-number&gt;&lt;foreign-keys&gt;&lt;key app="EN" db-id="f5f5va0252p5fee95pj55es3tdereta29dxz" timestamp="1749055457" guid="801e0463-196c-40f7-941b-02e03309a34e"&gt;29456&lt;/key&gt;&lt;/foreign-keys&gt;&lt;ref-type name="Journal Article"&gt;17&lt;/ref-type&gt;&lt;contributors&gt;&lt;authors&gt;&lt;author&gt;Quinn, Lauren M.&lt;/author&gt;&lt;author&gt;Swaby, Rabbi&lt;/author&gt;&lt;author&gt;Tatovic, Danijela&lt;/author&gt;&lt;author&gt;Narendran, Parth&lt;/author&gt;&lt;author&gt;Besser, Rachel E. J.&lt;/author&gt;&lt;author&gt;Dayan, Colin M.&lt;/author&gt;&lt;/authors&gt;&lt;/contributors&gt;&lt;titles&gt;&lt;title&gt;What does the licensing of teplizumab mean for diabetes care?&lt;/title&gt;&lt;secondary-title&gt;Diabetes, Obesity and Metabolism&lt;/secondary-title&gt;&lt;/titles&gt;&lt;periodical&gt;&lt;full-title&gt;Diabetes, Obesity and Metabolism&lt;/full-title&gt;&lt;/periodical&gt;&lt;pages&gt;2051-2057&lt;/pages&gt;&lt;volume&gt;25&lt;/volume&gt;&lt;number&gt;8&lt;/number&gt;&lt;dates&gt;&lt;year&gt;2023&lt;/year&gt;&lt;/dates&gt;&lt;publisher&gt;Wiley&lt;/publisher&gt;&lt;isbn&gt;1462-8902&lt;/isbn&gt;&lt;urls&gt;&lt;related-urls&gt;&lt;url&gt;https://dx.doi.org/10.1111/dom.15071&lt;/url&gt;&lt;/related-urls&gt;&lt;/urls&gt;&lt;electronic-resource-num&gt;10.1111/dom.15071&lt;/electronic-resource-num&gt;&lt;/record&gt;&lt;/Cite&gt;&lt;/EndNote&gt;</w:instrText>
            </w:r>
            <w:r w:rsidRPr="00267D11">
              <w:rPr>
                <w:rFonts w:ascii="Poppins" w:hAnsi="Poppins" w:eastAsia="Times New Roman" w:cs="Poppins"/>
                <w:color w:val="FFFFFF" w:themeColor="background1"/>
                <w:sz w:val="20"/>
                <w:szCs w:val="20"/>
                <w:vertAlign w:val="superscript"/>
              </w:rPr>
              <w:fldChar w:fldCharType="separate"/>
            </w:r>
            <w:r w:rsidRPr="00267D11">
              <w:rPr>
                <w:rFonts w:ascii="Poppins" w:hAnsi="Poppins" w:eastAsia="Times New Roman" w:cs="Poppins"/>
                <w:color w:val="FFFFFF" w:themeColor="background1"/>
                <w:sz w:val="20"/>
                <w:szCs w:val="20"/>
                <w:vertAlign w:val="superscript"/>
              </w:rPr>
              <w:t>(Quinn, 2023)</w:t>
            </w:r>
            <w:r w:rsidRPr="00267D11">
              <w:rPr>
                <w:rFonts w:ascii="Poppins" w:hAnsi="Poppins" w:eastAsia="Times New Roman" w:cs="Poppins"/>
                <w:color w:val="FFFFFF" w:themeColor="background1"/>
                <w:sz w:val="20"/>
                <w:szCs w:val="20"/>
                <w:vertAlign w:val="superscript"/>
              </w:rPr>
              <w:fldChar w:fldCharType="end"/>
            </w:r>
          </w:p>
        </w:tc>
        <w:tc>
          <w:tcPr>
            <w:tcW w:w="2098" w:type="dxa"/>
            <w:shd w:val="clear" w:color="auto" w:fill="FF5000"/>
            <w:vAlign w:val="center"/>
          </w:tcPr>
          <w:p w:rsidRPr="00267D11" w:rsidR="008D76EF" w:rsidP="001B36EE" w:rsidRDefault="008D76EF" w14:paraId="110E70F3" w14:textId="22092460">
            <w:pPr>
              <w:spacing w:before="120"/>
              <w:jc w:val="center"/>
              <w:rPr>
                <w:rFonts w:ascii="Poppins" w:hAnsi="Poppins" w:eastAsia="Times New Roman" w:cs="Poppins"/>
                <w:color w:val="FFFFFF" w:themeColor="background1"/>
                <w:sz w:val="20"/>
                <w:szCs w:val="20"/>
              </w:rPr>
            </w:pPr>
            <w:r w:rsidRPr="00267D11">
              <w:rPr>
                <w:rFonts w:ascii="Poppins" w:hAnsi="Poppins" w:eastAsia="Times New Roman" w:cs="Poppins"/>
                <w:color w:val="FFFFFF" w:themeColor="background1"/>
                <w:sz w:val="20"/>
                <w:szCs w:val="20"/>
              </w:rPr>
              <w:t xml:space="preserve">Stage 1 people detected who will PROGRESS to Stage 2 </w:t>
            </w:r>
            <w:r w:rsidRPr="00267D11" w:rsidR="00267D11">
              <w:rPr>
                <w:rFonts w:ascii="Poppins" w:hAnsi="Poppins" w:eastAsia="Times New Roman" w:cs="Poppins"/>
                <w:color w:val="FFFFFF" w:themeColor="background1"/>
                <w:sz w:val="20"/>
                <w:szCs w:val="20"/>
              </w:rPr>
              <w:br/>
            </w:r>
            <w:r w:rsidRPr="00267D11">
              <w:rPr>
                <w:rFonts w:ascii="Poppins" w:hAnsi="Poppins" w:eastAsia="Times New Roman" w:cs="Poppins"/>
                <w:color w:val="FFFFFF" w:themeColor="background1"/>
                <w:sz w:val="20"/>
                <w:szCs w:val="20"/>
              </w:rPr>
              <w:t>EACH year (21%)</w:t>
            </w:r>
            <w:r w:rsidRPr="00267D11" w:rsidR="00267D11">
              <w:rPr>
                <w:rFonts w:ascii="Poppins" w:hAnsi="Poppins" w:eastAsia="Times New Roman" w:cs="Poppins"/>
                <w:color w:val="FFFFFF" w:themeColor="background1"/>
                <w:sz w:val="20"/>
                <w:szCs w:val="20"/>
              </w:rPr>
              <w:br/>
            </w:r>
            <w:r w:rsidRPr="00267D11">
              <w:rPr>
                <w:rFonts w:ascii="Poppins" w:hAnsi="Poppins" w:eastAsia="Times New Roman" w:cs="Poppins"/>
                <w:color w:val="FFFFFF" w:themeColor="background1"/>
                <w:sz w:val="20"/>
                <w:szCs w:val="20"/>
                <w:vertAlign w:val="superscript"/>
              </w:rPr>
              <w:fldChar w:fldCharType="begin"/>
            </w:r>
            <w:r w:rsidRPr="00267D11">
              <w:rPr>
                <w:rFonts w:ascii="Poppins" w:hAnsi="Poppins" w:eastAsia="Times New Roman" w:cs="Poppins"/>
                <w:color w:val="FFFFFF" w:themeColor="background1"/>
                <w:sz w:val="20"/>
                <w:szCs w:val="20"/>
                <w:vertAlign w:val="superscript"/>
              </w:rPr>
              <w:instrText xml:space="preserve"> ADDIN EN.CITE &lt;EndNote&gt;&lt;Cite&gt;&lt;Author&gt;Sosenko&lt;/Author&gt;&lt;Year&gt;2009&lt;/Year&gt;&lt;RecNum&gt;30009&lt;/RecNum&gt;&lt;DisplayText&gt;&lt;style face="superscript"&gt;(Sosenko, 2009)&lt;/style&gt;&lt;/DisplayText&gt;&lt;record&gt;&lt;rec-number&gt;30009&lt;/rec-number&gt;&lt;foreign-keys&gt;&lt;key app="EN" db-id="f5f5va0252p5fee95pj55es3tdereta29dxz" timestamp="1756379965" guid="9238143b-ba98-4554-8d61-2a668ac1d8a6"&gt;30009&lt;/key&gt;&lt;/foreign-keys&gt;&lt;ref-type name="Journal Article"&gt;17&lt;/ref-type&gt;&lt;contributors&gt;&lt;authors&gt;&lt;author&gt;Sosenko, J. M.&lt;/author&gt;&lt;author&gt;Palmer, J. P.&lt;/author&gt;&lt;author&gt;Rafkin-Mervis, L.&lt;/author&gt;&lt;author&gt;Krischer, J. P.&lt;/author&gt;&lt;author&gt;Cuthbertson, D.&lt;/author&gt;&lt;author&gt;Mahon, J.&lt;/author&gt;&lt;author&gt;Greenbaum, C. J.&lt;/author&gt;&lt;author&gt;Cowie, C. C.&lt;/author&gt;&lt;author&gt;Skyler, J. S.&lt;/author&gt;&lt;/authors&gt;&lt;/contributors&gt;&lt;auth-address&gt;Division of Endocrinology, University of Miami, Miami, Florida, USA. jsosenko@med.miami.edu&lt;/auth-address&gt;&lt;titles&gt;&lt;title&gt;Incident dysglycemia and progression to type 1 diabetes among participants in the Diabetes Prevention Trial-Type 1&lt;/title&gt;&lt;secondary-title&gt;Diabetes Care&lt;/secondary-title&gt;&lt;/titles&gt;&lt;periodical&gt;&lt;full-title&gt;Diabetes Care&lt;/full-title&gt;&lt;/periodical&gt;&lt;pages&gt;1603-7&lt;/pages&gt;&lt;volume&gt;32&lt;/volume&gt;&lt;number&gt;9&lt;/number&gt;&lt;edition&gt;20090601&lt;/edition&gt;&lt;keywords&gt;&lt;keyword&gt;Adolescent&lt;/keyword&gt;&lt;keyword&gt;Blood Glucose&lt;/keyword&gt;&lt;keyword&gt;Child&lt;/keyword&gt;&lt;keyword&gt;Diabetes Mellitus, Type 1/blood/*epidemiology/*prevention &amp;amp; control&lt;/keyword&gt;&lt;keyword&gt;Female&lt;/keyword&gt;&lt;keyword&gt;Glucose Intolerance/blood&lt;/keyword&gt;&lt;keyword&gt;Glucose Tolerance Test&lt;/keyword&gt;&lt;keyword&gt;Humans&lt;/keyword&gt;&lt;keyword&gt;Male&lt;/keyword&gt;&lt;keyword&gt;Proportional Hazards Models&lt;/keyword&gt;&lt;/keywords&gt;&lt;dates&gt;&lt;year&gt;2009&lt;/year&gt;&lt;pub-dates&gt;&lt;date&gt;Sep&lt;/date&gt;&lt;/pub-dates&gt;&lt;/dates&gt;&lt;isbn&gt;0149-5992 (Print)&amp;#xD;0149-5992&lt;/isbn&gt;&lt;accession-num&gt;19487644&lt;/accession-num&gt;&lt;urls&gt;&lt;/urls&gt;&lt;custom2&gt;PMC2732147&lt;/custom2&gt;&lt;electronic-resource-num&gt;10.2337/dc08-2140&lt;/electronic-resource-num&gt;&lt;remote-database-provider&gt;NLM&lt;/remote-database-provider&gt;&lt;language&gt;eng&lt;/language&gt;&lt;/record&gt;&lt;/Cite&gt;&lt;/EndNote&gt;</w:instrText>
            </w:r>
            <w:r w:rsidRPr="00267D11">
              <w:rPr>
                <w:rFonts w:ascii="Poppins" w:hAnsi="Poppins" w:eastAsia="Times New Roman" w:cs="Poppins"/>
                <w:color w:val="FFFFFF" w:themeColor="background1"/>
                <w:sz w:val="20"/>
                <w:szCs w:val="20"/>
                <w:vertAlign w:val="superscript"/>
              </w:rPr>
              <w:fldChar w:fldCharType="separate"/>
            </w:r>
            <w:r w:rsidRPr="00267D11">
              <w:rPr>
                <w:rFonts w:ascii="Poppins" w:hAnsi="Poppins" w:eastAsia="Times New Roman" w:cs="Poppins"/>
                <w:color w:val="FFFFFF" w:themeColor="background1"/>
                <w:sz w:val="20"/>
                <w:szCs w:val="20"/>
                <w:vertAlign w:val="superscript"/>
              </w:rPr>
              <w:t>(Sosenko, 2009)</w:t>
            </w:r>
            <w:r w:rsidRPr="00267D11">
              <w:rPr>
                <w:rFonts w:ascii="Poppins" w:hAnsi="Poppins" w:eastAsia="Times New Roman" w:cs="Poppins"/>
                <w:color w:val="FFFFFF" w:themeColor="background1"/>
                <w:sz w:val="20"/>
                <w:szCs w:val="20"/>
                <w:vertAlign w:val="superscript"/>
              </w:rPr>
              <w:fldChar w:fldCharType="end"/>
            </w:r>
          </w:p>
        </w:tc>
        <w:tc>
          <w:tcPr>
            <w:tcW w:w="1587" w:type="dxa"/>
            <w:shd w:val="clear" w:color="auto" w:fill="FF5000"/>
            <w:vAlign w:val="center"/>
          </w:tcPr>
          <w:p w:rsidRPr="00267D11" w:rsidR="008D76EF" w:rsidP="001B36EE" w:rsidRDefault="008D76EF" w14:paraId="720FE341" w14:textId="6B97F4B4">
            <w:pPr>
              <w:spacing w:before="120"/>
              <w:jc w:val="center"/>
              <w:rPr>
                <w:rFonts w:ascii="Poppins" w:hAnsi="Poppins" w:eastAsia="Times New Roman" w:cs="Poppins"/>
                <w:color w:val="FFFFFF" w:themeColor="background1"/>
                <w:sz w:val="20"/>
                <w:szCs w:val="20"/>
              </w:rPr>
            </w:pPr>
            <w:r w:rsidRPr="00267D11">
              <w:rPr>
                <w:rFonts w:ascii="Poppins" w:hAnsi="Poppins" w:eastAsia="Times New Roman" w:cs="Poppins"/>
                <w:color w:val="FFFFFF" w:themeColor="background1"/>
                <w:sz w:val="20"/>
                <w:szCs w:val="20"/>
              </w:rPr>
              <w:t>Total</w:t>
            </w:r>
            <w:r w:rsidRPr="00267D11" w:rsidR="00B0655E">
              <w:rPr>
                <w:rFonts w:ascii="Poppins" w:hAnsi="Poppins" w:eastAsia="Times New Roman" w:cs="Poppins"/>
                <w:color w:val="FFFFFF" w:themeColor="background1"/>
                <w:sz w:val="20"/>
                <w:szCs w:val="20"/>
              </w:rPr>
              <w:t xml:space="preserve"> </w:t>
            </w:r>
            <w:r w:rsidRPr="00267D11">
              <w:rPr>
                <w:rFonts w:ascii="Poppins" w:hAnsi="Poppins" w:eastAsia="Times New Roman" w:cs="Poppins"/>
                <w:color w:val="FFFFFF" w:themeColor="background1"/>
                <w:sz w:val="20"/>
                <w:szCs w:val="20"/>
              </w:rPr>
              <w:t xml:space="preserve">number of people </w:t>
            </w:r>
            <w:r w:rsidRPr="00267D11">
              <w:rPr>
                <w:rFonts w:ascii="Poppins" w:hAnsi="Poppins" w:eastAsia="Times New Roman" w:cs="Poppins"/>
                <w:color w:val="FFFFFF" w:themeColor="background1"/>
                <w:sz w:val="20"/>
                <w:szCs w:val="20"/>
              </w:rPr>
              <w:br/>
            </w:r>
            <w:r w:rsidRPr="00267D11">
              <w:rPr>
                <w:rFonts w:ascii="Poppins" w:hAnsi="Poppins" w:eastAsia="Times New Roman" w:cs="Poppins"/>
                <w:color w:val="FFFFFF" w:themeColor="background1"/>
                <w:sz w:val="20"/>
                <w:szCs w:val="20"/>
              </w:rPr>
              <w:t xml:space="preserve">in Stage 2 </w:t>
            </w:r>
            <w:r w:rsidRPr="00267D11">
              <w:rPr>
                <w:rFonts w:ascii="Poppins" w:hAnsi="Poppins" w:eastAsia="Times New Roman" w:cs="Poppins"/>
                <w:color w:val="FFFFFF" w:themeColor="background1"/>
                <w:sz w:val="20"/>
                <w:szCs w:val="20"/>
              </w:rPr>
              <w:br/>
            </w:r>
            <w:r w:rsidRPr="00267D11">
              <w:rPr>
                <w:rFonts w:ascii="Poppins" w:hAnsi="Poppins" w:eastAsia="Times New Roman" w:cs="Poppins"/>
                <w:color w:val="FFFFFF" w:themeColor="background1"/>
                <w:sz w:val="20"/>
                <w:szCs w:val="20"/>
              </w:rPr>
              <w:t>each year</w:t>
            </w:r>
          </w:p>
        </w:tc>
      </w:tr>
      <w:tr w:rsidRPr="00C43185" w:rsidR="008D76EF" w:rsidTr="00267D11" w14:paraId="4E33BD13" w14:textId="77777777">
        <w:trPr>
          <w:trHeight w:val="454"/>
        </w:trPr>
        <w:tc>
          <w:tcPr>
            <w:tcW w:w="850" w:type="dxa"/>
            <w:shd w:val="clear" w:color="auto" w:fill="FFA780"/>
            <w:vAlign w:val="center"/>
          </w:tcPr>
          <w:p w:rsidRPr="007B7B7F" w:rsidR="008D76EF" w:rsidP="001B36EE" w:rsidRDefault="008D76EF" w14:paraId="78144D1A" w14:textId="77777777">
            <w:pPr>
              <w:spacing w:before="60" w:after="60"/>
              <w:jc w:val="center"/>
              <w:rPr>
                <w:rFonts w:ascii="Poppins" w:hAnsi="Poppins" w:eastAsia="Times New Roman" w:cs="Poppins"/>
                <w:b/>
                <w:bCs/>
                <w:sz w:val="20"/>
                <w:szCs w:val="20"/>
              </w:rPr>
            </w:pPr>
            <w:r w:rsidRPr="007B7B7F">
              <w:rPr>
                <w:rFonts w:ascii="Poppins" w:hAnsi="Poppins" w:eastAsia="Times New Roman" w:cs="Poppins"/>
                <w:b/>
                <w:bCs/>
                <w:sz w:val="20"/>
                <w:szCs w:val="20"/>
              </w:rPr>
              <w:t>1</w:t>
            </w:r>
          </w:p>
        </w:tc>
        <w:tc>
          <w:tcPr>
            <w:tcW w:w="2268" w:type="dxa"/>
            <w:shd w:val="clear" w:color="auto" w:fill="F2F2F2"/>
            <w:vAlign w:val="center"/>
          </w:tcPr>
          <w:p w:rsidRPr="00931E2C" w:rsidR="008D76EF" w:rsidP="001B36EE" w:rsidRDefault="008D76EF" w14:paraId="3DDED26F"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w:t>
            </w:r>
            <w:r w:rsidRPr="00BC08D9">
              <w:rPr>
                <w:rFonts w:ascii="Poppins" w:hAnsi="Poppins" w:eastAsia="Times New Roman" w:cs="Poppins"/>
                <w:b/>
                <w:bCs/>
                <w:sz w:val="20"/>
                <w:szCs w:val="20"/>
              </w:rPr>
              <w:t>3</w:t>
            </w:r>
          </w:p>
        </w:tc>
        <w:tc>
          <w:tcPr>
            <w:tcW w:w="1984" w:type="dxa"/>
            <w:shd w:val="clear" w:color="auto" w:fill="F2F2F2"/>
            <w:vAlign w:val="center"/>
          </w:tcPr>
          <w:p w:rsidRPr="00931E2C" w:rsidR="008D76EF" w:rsidP="001B36EE" w:rsidRDefault="008D76EF" w14:paraId="283BCD0F"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8D76EF" w:rsidP="001B36EE" w:rsidRDefault="008D76EF" w14:paraId="19367F09" w14:textId="77777777">
            <w:pPr>
              <w:spacing w:before="60" w:after="60"/>
              <w:jc w:val="center"/>
              <w:rPr>
                <w:rFonts w:ascii="Poppins" w:hAnsi="Poppins" w:eastAsia="Times New Roman" w:cs="Poppins"/>
                <w:sz w:val="20"/>
                <w:szCs w:val="20"/>
              </w:rPr>
            </w:pPr>
          </w:p>
        </w:tc>
        <w:tc>
          <w:tcPr>
            <w:tcW w:w="1587" w:type="dxa"/>
            <w:shd w:val="clear" w:color="auto" w:fill="F2F2F2"/>
            <w:vAlign w:val="center"/>
          </w:tcPr>
          <w:p w:rsidRPr="00BC08D9" w:rsidR="008D76EF" w:rsidP="001B36EE" w:rsidRDefault="008D76EF" w14:paraId="5AB433CA" w14:textId="77777777">
            <w:pPr>
              <w:spacing w:before="60" w:after="60"/>
              <w:jc w:val="center"/>
              <w:rPr>
                <w:rFonts w:ascii="Poppins" w:hAnsi="Poppins" w:eastAsia="Times New Roman" w:cs="Poppins"/>
                <w:b/>
                <w:bCs/>
                <w:sz w:val="20"/>
                <w:szCs w:val="20"/>
              </w:rPr>
            </w:pPr>
            <w:r w:rsidRPr="00BC08D9">
              <w:rPr>
                <w:rFonts w:ascii="Poppins" w:hAnsi="Poppins" w:eastAsia="Times New Roman" w:cs="Poppins"/>
                <w:b/>
                <w:bCs/>
                <w:sz w:val="20"/>
                <w:szCs w:val="20"/>
              </w:rPr>
              <w:t>0.3</w:t>
            </w:r>
          </w:p>
        </w:tc>
      </w:tr>
      <w:tr w:rsidRPr="00C43185" w:rsidR="008D76EF" w:rsidTr="00267D11" w14:paraId="314282EC" w14:textId="77777777">
        <w:trPr>
          <w:trHeight w:val="454"/>
        </w:trPr>
        <w:tc>
          <w:tcPr>
            <w:tcW w:w="850" w:type="dxa"/>
            <w:shd w:val="clear" w:color="auto" w:fill="FFA780"/>
            <w:vAlign w:val="center"/>
          </w:tcPr>
          <w:p w:rsidRPr="007B7B7F" w:rsidR="008D76EF" w:rsidP="001B36EE" w:rsidRDefault="008D76EF" w14:paraId="31E962F0" w14:textId="77777777">
            <w:pPr>
              <w:spacing w:before="60" w:after="60"/>
              <w:jc w:val="center"/>
              <w:rPr>
                <w:rFonts w:ascii="Poppins" w:hAnsi="Poppins" w:eastAsia="Times New Roman" w:cs="Poppins"/>
                <w:b/>
                <w:bCs/>
                <w:sz w:val="20"/>
                <w:szCs w:val="20"/>
              </w:rPr>
            </w:pPr>
            <w:r w:rsidRPr="007B7B7F">
              <w:rPr>
                <w:rFonts w:ascii="Poppins" w:hAnsi="Poppins" w:eastAsia="Times New Roman" w:cs="Poppins"/>
                <w:b/>
                <w:bCs/>
                <w:sz w:val="20"/>
                <w:szCs w:val="20"/>
              </w:rPr>
              <w:t>2</w:t>
            </w:r>
          </w:p>
        </w:tc>
        <w:tc>
          <w:tcPr>
            <w:tcW w:w="2268" w:type="dxa"/>
            <w:shd w:val="clear" w:color="auto" w:fill="F2F2F2"/>
            <w:vAlign w:val="center"/>
          </w:tcPr>
          <w:p w:rsidRPr="00931E2C" w:rsidR="008D76EF" w:rsidP="001B36EE" w:rsidRDefault="008D76EF" w14:paraId="61854D47"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3+3 = </w:t>
            </w:r>
            <w:r w:rsidRPr="00BC08D9">
              <w:rPr>
                <w:rFonts w:ascii="Poppins" w:hAnsi="Poppins" w:eastAsia="Times New Roman" w:cs="Poppins"/>
                <w:b/>
                <w:bCs/>
                <w:sz w:val="20"/>
                <w:szCs w:val="20"/>
              </w:rPr>
              <w:t>6</w:t>
            </w:r>
          </w:p>
        </w:tc>
        <w:tc>
          <w:tcPr>
            <w:tcW w:w="1984" w:type="dxa"/>
            <w:shd w:val="clear" w:color="auto" w:fill="F2F2F2"/>
            <w:vAlign w:val="center"/>
          </w:tcPr>
          <w:p w:rsidRPr="00931E2C" w:rsidR="008D76EF" w:rsidP="001B36EE" w:rsidRDefault="008D76EF" w14:paraId="51F2908E"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8D76EF" w:rsidP="001B36EE" w:rsidRDefault="00BC08D9" w14:paraId="61A089C6" w14:textId="4E5B5AD2">
            <w:pPr>
              <w:spacing w:before="60" w:after="60"/>
              <w:jc w:val="center"/>
              <w:rPr>
                <w:rFonts w:ascii="Poppins" w:hAnsi="Poppins" w:eastAsia="Times New Roman" w:cs="Poppins"/>
                <w:sz w:val="20"/>
                <w:szCs w:val="20"/>
              </w:rPr>
            </w:pPr>
            <w:r>
              <w:rPr>
                <w:rFonts w:ascii="Poppins" w:hAnsi="Poppins" w:eastAsia="Times New Roman" w:cs="Poppins"/>
                <w:sz w:val="20"/>
                <w:szCs w:val="20"/>
              </w:rPr>
              <w:t>6x21%=</w:t>
            </w:r>
            <w:r w:rsidRPr="00BC08D9" w:rsidR="008D76EF">
              <w:rPr>
                <w:rFonts w:ascii="Poppins" w:hAnsi="Poppins" w:eastAsia="Times New Roman" w:cs="Poppins"/>
                <w:b/>
                <w:bCs/>
                <w:sz w:val="20"/>
                <w:szCs w:val="20"/>
              </w:rPr>
              <w:t>1.3</w:t>
            </w:r>
          </w:p>
        </w:tc>
        <w:tc>
          <w:tcPr>
            <w:tcW w:w="1587" w:type="dxa"/>
            <w:shd w:val="clear" w:color="auto" w:fill="F2F2F2"/>
            <w:vAlign w:val="center"/>
          </w:tcPr>
          <w:p w:rsidRPr="00931E2C" w:rsidR="008D76EF" w:rsidP="001B36EE" w:rsidRDefault="008D76EF" w14:paraId="66D26A3D" w14:textId="6BD078FA">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1.3 =</w:t>
            </w:r>
            <w:r w:rsidR="00DD016B">
              <w:rPr>
                <w:rFonts w:ascii="Poppins" w:hAnsi="Poppins" w:eastAsia="Times New Roman" w:cs="Poppins"/>
                <w:sz w:val="20"/>
                <w:szCs w:val="20"/>
              </w:rPr>
              <w:t xml:space="preserve"> </w:t>
            </w:r>
            <w:r w:rsidRPr="00BC08D9">
              <w:rPr>
                <w:rFonts w:ascii="Poppins" w:hAnsi="Poppins" w:eastAsia="Times New Roman" w:cs="Poppins"/>
                <w:b/>
                <w:bCs/>
                <w:sz w:val="20"/>
                <w:szCs w:val="20"/>
              </w:rPr>
              <w:t>1.6</w:t>
            </w:r>
          </w:p>
        </w:tc>
      </w:tr>
      <w:tr w:rsidRPr="00C43185" w:rsidR="008D76EF" w:rsidTr="00267D11" w14:paraId="437ACE45" w14:textId="77777777">
        <w:trPr>
          <w:trHeight w:val="454"/>
        </w:trPr>
        <w:tc>
          <w:tcPr>
            <w:tcW w:w="850" w:type="dxa"/>
            <w:shd w:val="clear" w:color="auto" w:fill="FFA780"/>
            <w:vAlign w:val="center"/>
          </w:tcPr>
          <w:p w:rsidRPr="007B7B7F" w:rsidR="008D76EF" w:rsidP="001B36EE" w:rsidRDefault="008D76EF" w14:paraId="5FA56CA0" w14:textId="77777777">
            <w:pPr>
              <w:spacing w:before="60" w:after="60"/>
              <w:jc w:val="center"/>
              <w:rPr>
                <w:rFonts w:ascii="Poppins" w:hAnsi="Poppins" w:eastAsia="Times New Roman" w:cs="Poppins"/>
                <w:b/>
                <w:bCs/>
                <w:sz w:val="20"/>
                <w:szCs w:val="20"/>
              </w:rPr>
            </w:pPr>
            <w:r w:rsidRPr="007B7B7F">
              <w:rPr>
                <w:rFonts w:ascii="Poppins" w:hAnsi="Poppins" w:eastAsia="Times New Roman" w:cs="Poppins"/>
                <w:b/>
                <w:bCs/>
                <w:sz w:val="20"/>
                <w:szCs w:val="20"/>
              </w:rPr>
              <w:t>3</w:t>
            </w:r>
          </w:p>
        </w:tc>
        <w:tc>
          <w:tcPr>
            <w:tcW w:w="2268" w:type="dxa"/>
            <w:shd w:val="clear" w:color="auto" w:fill="F2F2F2"/>
            <w:vAlign w:val="center"/>
          </w:tcPr>
          <w:p w:rsidRPr="00931E2C" w:rsidR="008D76EF" w:rsidP="001B36EE" w:rsidRDefault="008D76EF" w14:paraId="68452E9C"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3+6 = </w:t>
            </w:r>
            <w:r w:rsidRPr="00BC08D9">
              <w:rPr>
                <w:rFonts w:ascii="Poppins" w:hAnsi="Poppins" w:eastAsia="Times New Roman" w:cs="Poppins"/>
                <w:b/>
                <w:bCs/>
                <w:sz w:val="20"/>
                <w:szCs w:val="20"/>
              </w:rPr>
              <w:t>9</w:t>
            </w:r>
          </w:p>
        </w:tc>
        <w:tc>
          <w:tcPr>
            <w:tcW w:w="1984" w:type="dxa"/>
            <w:shd w:val="clear" w:color="auto" w:fill="F2F2F2"/>
            <w:vAlign w:val="center"/>
          </w:tcPr>
          <w:p w:rsidRPr="00931E2C" w:rsidR="008D76EF" w:rsidP="001B36EE" w:rsidRDefault="008D76EF" w14:paraId="4119F382"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8D76EF" w:rsidP="001B36EE" w:rsidRDefault="00BC08D9" w14:paraId="1B9F9E17" w14:textId="68A5C8BA">
            <w:pPr>
              <w:spacing w:before="60" w:after="60"/>
              <w:jc w:val="center"/>
              <w:rPr>
                <w:rFonts w:ascii="Poppins" w:hAnsi="Poppins" w:eastAsia="Times New Roman" w:cs="Poppins"/>
                <w:sz w:val="20"/>
                <w:szCs w:val="20"/>
              </w:rPr>
            </w:pPr>
            <w:r>
              <w:rPr>
                <w:rFonts w:ascii="Poppins" w:hAnsi="Poppins" w:eastAsia="Times New Roman" w:cs="Poppins"/>
                <w:sz w:val="20"/>
                <w:szCs w:val="20"/>
              </w:rPr>
              <w:t>9x21%=</w:t>
            </w:r>
            <w:r w:rsidRPr="00BC08D9" w:rsidR="008D76EF">
              <w:rPr>
                <w:rFonts w:ascii="Poppins" w:hAnsi="Poppins" w:eastAsia="Times New Roman" w:cs="Poppins"/>
                <w:b/>
                <w:bCs/>
                <w:sz w:val="20"/>
                <w:szCs w:val="20"/>
              </w:rPr>
              <w:t>1.9</w:t>
            </w:r>
          </w:p>
        </w:tc>
        <w:tc>
          <w:tcPr>
            <w:tcW w:w="1587" w:type="dxa"/>
            <w:shd w:val="clear" w:color="auto" w:fill="F2F2F2"/>
            <w:vAlign w:val="center"/>
          </w:tcPr>
          <w:p w:rsidRPr="00931E2C" w:rsidR="008D76EF" w:rsidP="001B36EE" w:rsidRDefault="008D76EF" w14:paraId="5580A65B" w14:textId="116FE9A3">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 xml:space="preserve">1.9 = </w:t>
            </w:r>
            <w:r w:rsidRPr="00BC08D9">
              <w:rPr>
                <w:rFonts w:ascii="Poppins" w:hAnsi="Poppins" w:eastAsia="Times New Roman" w:cs="Poppins"/>
                <w:b/>
                <w:bCs/>
                <w:sz w:val="20"/>
                <w:szCs w:val="20"/>
              </w:rPr>
              <w:t>2.2</w:t>
            </w:r>
          </w:p>
        </w:tc>
      </w:tr>
      <w:tr w:rsidRPr="00C43185" w:rsidR="008D76EF" w:rsidTr="00267D11" w14:paraId="5BCF7FA8" w14:textId="77777777">
        <w:trPr>
          <w:trHeight w:val="454"/>
        </w:trPr>
        <w:tc>
          <w:tcPr>
            <w:tcW w:w="850" w:type="dxa"/>
            <w:shd w:val="clear" w:color="auto" w:fill="FFA780"/>
            <w:vAlign w:val="center"/>
          </w:tcPr>
          <w:p w:rsidRPr="007B7B7F" w:rsidR="008D76EF" w:rsidP="001B36EE" w:rsidRDefault="008D76EF" w14:paraId="59480568" w14:textId="77777777">
            <w:pPr>
              <w:spacing w:before="60" w:after="60"/>
              <w:jc w:val="center"/>
              <w:rPr>
                <w:rFonts w:ascii="Poppins" w:hAnsi="Poppins" w:eastAsia="Times New Roman" w:cs="Poppins"/>
                <w:b/>
                <w:bCs/>
                <w:sz w:val="20"/>
                <w:szCs w:val="20"/>
              </w:rPr>
            </w:pPr>
            <w:r w:rsidRPr="007B7B7F">
              <w:rPr>
                <w:rFonts w:ascii="Poppins" w:hAnsi="Poppins" w:eastAsia="Times New Roman" w:cs="Poppins"/>
                <w:b/>
                <w:bCs/>
                <w:sz w:val="20"/>
                <w:szCs w:val="20"/>
              </w:rPr>
              <w:t>4</w:t>
            </w:r>
          </w:p>
        </w:tc>
        <w:tc>
          <w:tcPr>
            <w:tcW w:w="2268" w:type="dxa"/>
            <w:shd w:val="clear" w:color="auto" w:fill="F2F2F2"/>
            <w:vAlign w:val="center"/>
          </w:tcPr>
          <w:p w:rsidRPr="00931E2C" w:rsidR="008D76EF" w:rsidP="001B36EE" w:rsidRDefault="008D76EF" w14:paraId="3B04468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3+9 = </w:t>
            </w:r>
            <w:r w:rsidRPr="00BC08D9">
              <w:rPr>
                <w:rFonts w:ascii="Poppins" w:hAnsi="Poppins" w:eastAsia="Times New Roman" w:cs="Poppins"/>
                <w:b/>
                <w:bCs/>
                <w:sz w:val="20"/>
                <w:szCs w:val="20"/>
              </w:rPr>
              <w:t>12</w:t>
            </w:r>
          </w:p>
        </w:tc>
        <w:tc>
          <w:tcPr>
            <w:tcW w:w="1984" w:type="dxa"/>
            <w:shd w:val="clear" w:color="auto" w:fill="F2F2F2"/>
            <w:vAlign w:val="center"/>
          </w:tcPr>
          <w:p w:rsidRPr="00931E2C" w:rsidR="008D76EF" w:rsidP="001B36EE" w:rsidRDefault="008D76EF" w14:paraId="2E12FB38"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8D76EF" w:rsidP="001B36EE" w:rsidRDefault="00BC08D9" w14:paraId="293C5A14" w14:textId="315E6339">
            <w:pPr>
              <w:spacing w:before="60" w:after="60"/>
              <w:jc w:val="center"/>
              <w:rPr>
                <w:rFonts w:ascii="Poppins" w:hAnsi="Poppins" w:eastAsia="Times New Roman" w:cs="Poppins"/>
                <w:sz w:val="20"/>
                <w:szCs w:val="20"/>
              </w:rPr>
            </w:pPr>
            <w:r>
              <w:rPr>
                <w:rFonts w:ascii="Poppins" w:hAnsi="Poppins" w:eastAsia="Times New Roman" w:cs="Poppins"/>
                <w:sz w:val="20"/>
                <w:szCs w:val="20"/>
              </w:rPr>
              <w:t>12x21%=</w:t>
            </w:r>
            <w:r w:rsidRPr="00BC08D9" w:rsidR="008D76EF">
              <w:rPr>
                <w:rFonts w:ascii="Poppins" w:hAnsi="Poppins" w:eastAsia="Times New Roman" w:cs="Poppins"/>
                <w:b/>
                <w:bCs/>
                <w:sz w:val="20"/>
                <w:szCs w:val="20"/>
              </w:rPr>
              <w:t>2.5</w:t>
            </w:r>
          </w:p>
        </w:tc>
        <w:tc>
          <w:tcPr>
            <w:tcW w:w="1587" w:type="dxa"/>
            <w:shd w:val="clear" w:color="auto" w:fill="F2F2F2"/>
            <w:vAlign w:val="center"/>
          </w:tcPr>
          <w:p w:rsidRPr="00931E2C" w:rsidR="008D76EF" w:rsidP="001B36EE" w:rsidRDefault="008D76EF" w14:paraId="0B5876BA" w14:textId="75DBC448">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2.5 =</w:t>
            </w:r>
            <w:r w:rsidR="00DD016B">
              <w:rPr>
                <w:rFonts w:ascii="Poppins" w:hAnsi="Poppins" w:eastAsia="Times New Roman" w:cs="Poppins"/>
                <w:sz w:val="20"/>
                <w:szCs w:val="20"/>
              </w:rPr>
              <w:t xml:space="preserve"> </w:t>
            </w:r>
            <w:r w:rsidRPr="00BC08D9">
              <w:rPr>
                <w:rFonts w:ascii="Poppins" w:hAnsi="Poppins" w:eastAsia="Times New Roman" w:cs="Poppins"/>
                <w:b/>
                <w:bCs/>
                <w:sz w:val="20"/>
                <w:szCs w:val="20"/>
              </w:rPr>
              <w:t>2.8</w:t>
            </w:r>
          </w:p>
        </w:tc>
      </w:tr>
      <w:tr w:rsidRPr="00C43185" w:rsidR="008D76EF" w:rsidTr="00267D11" w14:paraId="3AFEF047" w14:textId="77777777">
        <w:trPr>
          <w:trHeight w:val="454"/>
        </w:trPr>
        <w:tc>
          <w:tcPr>
            <w:tcW w:w="850" w:type="dxa"/>
            <w:shd w:val="clear" w:color="auto" w:fill="FFA780"/>
            <w:vAlign w:val="center"/>
          </w:tcPr>
          <w:p w:rsidRPr="007B7B7F" w:rsidR="008D76EF" w:rsidP="001B36EE" w:rsidRDefault="008D76EF" w14:paraId="426131D0" w14:textId="77777777">
            <w:pPr>
              <w:spacing w:before="60" w:after="60"/>
              <w:jc w:val="center"/>
              <w:rPr>
                <w:rFonts w:ascii="Poppins" w:hAnsi="Poppins" w:eastAsia="Times New Roman" w:cs="Poppins"/>
                <w:b/>
                <w:bCs/>
                <w:sz w:val="20"/>
                <w:szCs w:val="20"/>
              </w:rPr>
            </w:pPr>
            <w:r w:rsidRPr="007B7B7F">
              <w:rPr>
                <w:rFonts w:ascii="Poppins" w:hAnsi="Poppins" w:eastAsia="Times New Roman" w:cs="Poppins"/>
                <w:b/>
                <w:bCs/>
                <w:sz w:val="20"/>
                <w:szCs w:val="20"/>
              </w:rPr>
              <w:t>5</w:t>
            </w:r>
          </w:p>
        </w:tc>
        <w:tc>
          <w:tcPr>
            <w:tcW w:w="2268" w:type="dxa"/>
            <w:shd w:val="clear" w:color="auto" w:fill="F2F2F2"/>
            <w:vAlign w:val="center"/>
          </w:tcPr>
          <w:p w:rsidRPr="00931E2C" w:rsidR="008D76EF" w:rsidP="001B36EE" w:rsidRDefault="008D76EF" w14:paraId="25C0D3FA"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 xml:space="preserve">3+12 = </w:t>
            </w:r>
            <w:r w:rsidRPr="00BC08D9">
              <w:rPr>
                <w:rFonts w:ascii="Poppins" w:hAnsi="Poppins" w:eastAsia="Times New Roman" w:cs="Poppins"/>
                <w:b/>
                <w:bCs/>
                <w:sz w:val="20"/>
                <w:szCs w:val="20"/>
              </w:rPr>
              <w:t>15</w:t>
            </w:r>
          </w:p>
        </w:tc>
        <w:tc>
          <w:tcPr>
            <w:tcW w:w="1984" w:type="dxa"/>
            <w:shd w:val="clear" w:color="auto" w:fill="F2F2F2"/>
            <w:vAlign w:val="center"/>
          </w:tcPr>
          <w:p w:rsidRPr="00931E2C" w:rsidR="008D76EF" w:rsidP="001B36EE" w:rsidRDefault="008D76EF" w14:paraId="7190E85F" w14:textId="77777777">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p>
        </w:tc>
        <w:tc>
          <w:tcPr>
            <w:tcW w:w="2098" w:type="dxa"/>
            <w:shd w:val="clear" w:color="auto" w:fill="F2F2F2"/>
            <w:vAlign w:val="center"/>
          </w:tcPr>
          <w:p w:rsidRPr="00931E2C" w:rsidR="008D76EF" w:rsidP="001B36EE" w:rsidRDefault="00BC08D9" w14:paraId="5F2F7A73" w14:textId="09FCF20C">
            <w:pPr>
              <w:spacing w:before="60" w:after="60"/>
              <w:jc w:val="center"/>
              <w:rPr>
                <w:rFonts w:ascii="Poppins" w:hAnsi="Poppins" w:eastAsia="Times New Roman" w:cs="Poppins"/>
                <w:sz w:val="20"/>
                <w:szCs w:val="20"/>
              </w:rPr>
            </w:pPr>
            <w:r>
              <w:rPr>
                <w:rFonts w:ascii="Poppins" w:hAnsi="Poppins" w:eastAsia="Times New Roman" w:cs="Poppins"/>
                <w:sz w:val="20"/>
                <w:szCs w:val="20"/>
              </w:rPr>
              <w:t>15x21%=</w:t>
            </w:r>
            <w:r w:rsidRPr="00BC08D9" w:rsidR="008D76EF">
              <w:rPr>
                <w:rFonts w:ascii="Poppins" w:hAnsi="Poppins" w:eastAsia="Times New Roman" w:cs="Poppins"/>
                <w:b/>
                <w:bCs/>
                <w:sz w:val="20"/>
                <w:szCs w:val="20"/>
              </w:rPr>
              <w:t>3.2</w:t>
            </w:r>
          </w:p>
        </w:tc>
        <w:tc>
          <w:tcPr>
            <w:tcW w:w="1587" w:type="dxa"/>
            <w:shd w:val="clear" w:color="auto" w:fill="F2F2F2"/>
            <w:vAlign w:val="center"/>
          </w:tcPr>
          <w:p w:rsidRPr="00931E2C" w:rsidR="008D76EF" w:rsidP="001B36EE" w:rsidRDefault="008D76EF" w14:paraId="3B796405" w14:textId="36EB2449">
            <w:pPr>
              <w:spacing w:before="60" w:after="60"/>
              <w:jc w:val="center"/>
              <w:rPr>
                <w:rFonts w:ascii="Poppins" w:hAnsi="Poppins" w:eastAsia="Times New Roman" w:cs="Poppins"/>
                <w:sz w:val="20"/>
                <w:szCs w:val="20"/>
              </w:rPr>
            </w:pPr>
            <w:r w:rsidRPr="00931E2C">
              <w:rPr>
                <w:rFonts w:ascii="Poppins" w:hAnsi="Poppins" w:eastAsia="Times New Roman" w:cs="Poppins"/>
                <w:sz w:val="20"/>
                <w:szCs w:val="20"/>
              </w:rPr>
              <w:t>0.3</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w:t>
            </w:r>
            <w:r w:rsidR="00DD016B">
              <w:rPr>
                <w:rFonts w:ascii="Poppins" w:hAnsi="Poppins" w:eastAsia="Times New Roman" w:cs="Poppins"/>
                <w:sz w:val="20"/>
                <w:szCs w:val="20"/>
              </w:rPr>
              <w:t xml:space="preserve"> </w:t>
            </w:r>
            <w:r w:rsidRPr="00931E2C">
              <w:rPr>
                <w:rFonts w:ascii="Poppins" w:hAnsi="Poppins" w:eastAsia="Times New Roman" w:cs="Poppins"/>
                <w:sz w:val="20"/>
                <w:szCs w:val="20"/>
              </w:rPr>
              <w:t>3.2 =</w:t>
            </w:r>
            <w:r w:rsidR="00DD016B">
              <w:rPr>
                <w:rFonts w:ascii="Poppins" w:hAnsi="Poppins" w:eastAsia="Times New Roman" w:cs="Poppins"/>
                <w:sz w:val="20"/>
                <w:szCs w:val="20"/>
              </w:rPr>
              <w:t xml:space="preserve"> </w:t>
            </w:r>
            <w:r w:rsidRPr="00BC08D9">
              <w:rPr>
                <w:rFonts w:ascii="Poppins" w:hAnsi="Poppins" w:eastAsia="Times New Roman" w:cs="Poppins"/>
                <w:b/>
                <w:bCs/>
                <w:sz w:val="20"/>
                <w:szCs w:val="20"/>
              </w:rPr>
              <w:t>3.5</w:t>
            </w:r>
          </w:p>
        </w:tc>
      </w:tr>
    </w:tbl>
    <w:p w:rsidR="00267D11" w:rsidP="001B36EE" w:rsidRDefault="00267D11" w14:paraId="38E42D63" w14:textId="77777777">
      <w:pPr>
        <w:pStyle w:val="Heading1"/>
        <w:spacing w:before="120" w:line="240" w:lineRule="auto"/>
        <w:rPr>
          <w:rFonts w:ascii="Poppins" w:hAnsi="Poppins" w:cs="Poppins"/>
          <w:color w:val="0023C8"/>
        </w:rPr>
      </w:pPr>
    </w:p>
    <w:tbl>
      <w:tblPr>
        <w:tblStyle w:val="TableGrid"/>
        <w:tblW w:w="8787" w:type="dxa"/>
        <w:tblBorders>
          <w:top w:val="none" w:color="auto" w:sz="0" w:space="0"/>
          <w:left w:val="none" w:color="auto" w:sz="0" w:space="0"/>
          <w:bottom w:val="none" w:color="auto" w:sz="0" w:space="0"/>
          <w:right w:val="none" w:color="auto" w:sz="0" w:space="0"/>
          <w:insideH w:val="single" w:color="FFFFFF" w:themeColor="background1" w:sz="18" w:space="0"/>
          <w:insideV w:val="single" w:color="FFFFFF" w:themeColor="background1" w:sz="18" w:space="0"/>
        </w:tblBorders>
        <w:tblLook w:val="04A0" w:firstRow="1" w:lastRow="0" w:firstColumn="1" w:lastColumn="0" w:noHBand="0" w:noVBand="1"/>
      </w:tblPr>
      <w:tblGrid>
        <w:gridCol w:w="850"/>
        <w:gridCol w:w="7937"/>
      </w:tblGrid>
      <w:tr w:rsidRPr="00667C5D" w:rsidR="00667C5D" w:rsidTr="00667C5D" w14:paraId="7D749045" w14:textId="77777777">
        <w:trPr>
          <w:trHeight w:val="1134"/>
        </w:trPr>
        <w:tc>
          <w:tcPr>
            <w:tcW w:w="850" w:type="dxa"/>
            <w:shd w:val="clear" w:color="auto" w:fill="0023C8"/>
            <w:vAlign w:val="center"/>
          </w:tcPr>
          <w:p w:rsidRPr="00667C5D" w:rsidR="00516617" w:rsidP="001B36EE" w:rsidRDefault="00516617" w14:paraId="23BBDF01" w14:textId="7205628A">
            <w:pPr>
              <w:jc w:val="center"/>
              <w:rPr>
                <w:rFonts w:ascii="Poppins" w:hAnsi="Poppins" w:cs="Poppins"/>
                <w:color w:val="FFFFFF" w:themeColor="background1"/>
              </w:rPr>
            </w:pPr>
            <w:r w:rsidRPr="00667C5D">
              <w:rPr>
                <w:rFonts w:ascii="Poppins" w:hAnsi="Poppins" w:cs="Poppins"/>
                <w:color w:val="FFFFFF" w:themeColor="background1"/>
              </w:rPr>
              <w:t>Year</w:t>
            </w:r>
          </w:p>
        </w:tc>
        <w:tc>
          <w:tcPr>
            <w:tcW w:w="7937" w:type="dxa"/>
            <w:shd w:val="clear" w:color="auto" w:fill="0023C8"/>
            <w:vAlign w:val="center"/>
          </w:tcPr>
          <w:p w:rsidRPr="00667C5D" w:rsidR="00516617" w:rsidP="001B36EE" w:rsidRDefault="00516617" w14:paraId="7966F291" w14:textId="2260ED43">
            <w:pPr>
              <w:jc w:val="center"/>
              <w:rPr>
                <w:rFonts w:ascii="Poppins" w:hAnsi="Poppins" w:cs="Poppins"/>
                <w:color w:val="FFFFFF" w:themeColor="background1"/>
              </w:rPr>
            </w:pPr>
            <w:r w:rsidRPr="00667C5D">
              <w:rPr>
                <w:rFonts w:ascii="Poppins" w:hAnsi="Poppins" w:cs="Poppins"/>
                <w:color w:val="FFFFFF" w:themeColor="background1"/>
              </w:rPr>
              <w:t xml:space="preserve">Total number of patients eligible for teplizumab </w:t>
            </w:r>
            <w:r w:rsidR="00667C5D">
              <w:rPr>
                <w:rFonts w:ascii="Poppins" w:hAnsi="Poppins" w:cs="Poppins"/>
                <w:color w:val="FFFFFF" w:themeColor="background1"/>
              </w:rPr>
              <w:br/>
            </w:r>
            <w:r w:rsidRPr="00667C5D">
              <w:rPr>
                <w:rFonts w:ascii="Poppins" w:hAnsi="Poppins" w:cs="Poppins"/>
                <w:color w:val="FFFFFF" w:themeColor="background1"/>
              </w:rPr>
              <w:t xml:space="preserve">based on identification through research studies or </w:t>
            </w:r>
            <w:r w:rsidR="00667C5D">
              <w:rPr>
                <w:rFonts w:ascii="Poppins" w:hAnsi="Poppins" w:cs="Poppins"/>
                <w:color w:val="FFFFFF" w:themeColor="background1"/>
              </w:rPr>
              <w:br/>
            </w:r>
            <w:r w:rsidRPr="00667C5D">
              <w:rPr>
                <w:rFonts w:ascii="Poppins" w:hAnsi="Poppins" w:cs="Poppins"/>
                <w:color w:val="FFFFFF" w:themeColor="background1"/>
              </w:rPr>
              <w:t>FDR testing per million population</w:t>
            </w:r>
          </w:p>
        </w:tc>
      </w:tr>
      <w:tr w:rsidRPr="00667C5D" w:rsidR="00667C5D" w:rsidTr="00667C5D" w14:paraId="50BFF42E" w14:textId="77777777">
        <w:trPr>
          <w:trHeight w:val="454"/>
        </w:trPr>
        <w:tc>
          <w:tcPr>
            <w:tcW w:w="850" w:type="dxa"/>
            <w:shd w:val="clear" w:color="auto" w:fill="4B69FF"/>
            <w:vAlign w:val="center"/>
          </w:tcPr>
          <w:p w:rsidRPr="00667C5D" w:rsidR="00516617" w:rsidP="001B36EE" w:rsidRDefault="00516617" w14:paraId="7BCFA0F9" w14:textId="39C932B9">
            <w:pPr>
              <w:jc w:val="center"/>
              <w:rPr>
                <w:rFonts w:ascii="Poppins" w:hAnsi="Poppins" w:cs="Poppins"/>
                <w:color w:val="FFFFFF" w:themeColor="background1"/>
              </w:rPr>
            </w:pPr>
            <w:r w:rsidRPr="00667C5D">
              <w:rPr>
                <w:rFonts w:ascii="Poppins" w:hAnsi="Poppins" w:cs="Poppins"/>
                <w:color w:val="FFFFFF" w:themeColor="background1"/>
              </w:rPr>
              <w:t>1</w:t>
            </w:r>
          </w:p>
        </w:tc>
        <w:tc>
          <w:tcPr>
            <w:tcW w:w="7937" w:type="dxa"/>
            <w:shd w:val="clear" w:color="auto" w:fill="F2F2F2" w:themeFill="background1" w:themeFillShade="F2"/>
            <w:vAlign w:val="center"/>
          </w:tcPr>
          <w:p w:rsidRPr="00667C5D" w:rsidR="00516617" w:rsidP="001B36EE" w:rsidRDefault="00516617" w14:paraId="675F5EAD" w14:textId="272FC631">
            <w:pPr>
              <w:jc w:val="center"/>
              <w:rPr>
                <w:rFonts w:ascii="Poppins" w:hAnsi="Poppins" w:cs="Poppins"/>
                <w:color w:val="0023C8"/>
              </w:rPr>
            </w:pPr>
            <w:r w:rsidRPr="00667C5D">
              <w:rPr>
                <w:rFonts w:ascii="Poppins" w:hAnsi="Poppins" w:cs="Poppins"/>
                <w:color w:val="0023C8"/>
              </w:rPr>
              <w:t>1</w:t>
            </w:r>
          </w:p>
        </w:tc>
      </w:tr>
      <w:tr w:rsidRPr="00667C5D" w:rsidR="00667C5D" w:rsidTr="00667C5D" w14:paraId="79B5AF63" w14:textId="77777777">
        <w:trPr>
          <w:trHeight w:val="454"/>
        </w:trPr>
        <w:tc>
          <w:tcPr>
            <w:tcW w:w="850" w:type="dxa"/>
            <w:shd w:val="clear" w:color="auto" w:fill="4B69FF"/>
            <w:vAlign w:val="center"/>
          </w:tcPr>
          <w:p w:rsidRPr="00667C5D" w:rsidR="00516617" w:rsidP="001B36EE" w:rsidRDefault="00516617" w14:paraId="6F0760AD" w14:textId="76ABAD29">
            <w:pPr>
              <w:jc w:val="center"/>
              <w:rPr>
                <w:rFonts w:ascii="Poppins" w:hAnsi="Poppins" w:cs="Poppins"/>
                <w:color w:val="FFFFFF" w:themeColor="background1"/>
              </w:rPr>
            </w:pPr>
            <w:r w:rsidRPr="00667C5D">
              <w:rPr>
                <w:rFonts w:ascii="Poppins" w:hAnsi="Poppins" w:cs="Poppins"/>
                <w:color w:val="FFFFFF" w:themeColor="background1"/>
              </w:rPr>
              <w:t>2</w:t>
            </w:r>
          </w:p>
        </w:tc>
        <w:tc>
          <w:tcPr>
            <w:tcW w:w="7937" w:type="dxa"/>
            <w:shd w:val="clear" w:color="auto" w:fill="F2F2F2" w:themeFill="background1" w:themeFillShade="F2"/>
            <w:vAlign w:val="center"/>
          </w:tcPr>
          <w:p w:rsidRPr="00667C5D" w:rsidR="00516617" w:rsidP="001B36EE" w:rsidRDefault="00516617" w14:paraId="0914B022" w14:textId="32417622">
            <w:pPr>
              <w:jc w:val="center"/>
              <w:rPr>
                <w:rFonts w:ascii="Poppins" w:hAnsi="Poppins" w:cs="Poppins"/>
                <w:color w:val="0023C8"/>
              </w:rPr>
            </w:pPr>
            <w:r w:rsidRPr="00667C5D">
              <w:rPr>
                <w:rFonts w:ascii="Poppins" w:hAnsi="Poppins" w:cs="Poppins"/>
                <w:color w:val="0023C8"/>
              </w:rPr>
              <w:t>3</w:t>
            </w:r>
          </w:p>
        </w:tc>
      </w:tr>
      <w:tr w:rsidRPr="00667C5D" w:rsidR="00667C5D" w:rsidTr="00667C5D" w14:paraId="4DB78515" w14:textId="77777777">
        <w:trPr>
          <w:trHeight w:val="454"/>
        </w:trPr>
        <w:tc>
          <w:tcPr>
            <w:tcW w:w="850" w:type="dxa"/>
            <w:shd w:val="clear" w:color="auto" w:fill="4B69FF"/>
            <w:vAlign w:val="center"/>
          </w:tcPr>
          <w:p w:rsidRPr="00667C5D" w:rsidR="00516617" w:rsidP="001B36EE" w:rsidRDefault="00516617" w14:paraId="4A165B28" w14:textId="331EE273">
            <w:pPr>
              <w:jc w:val="center"/>
              <w:rPr>
                <w:rFonts w:ascii="Poppins" w:hAnsi="Poppins" w:cs="Poppins"/>
                <w:color w:val="FFFFFF" w:themeColor="background1"/>
              </w:rPr>
            </w:pPr>
            <w:r w:rsidRPr="00667C5D">
              <w:rPr>
                <w:rFonts w:ascii="Poppins" w:hAnsi="Poppins" w:cs="Poppins"/>
                <w:color w:val="FFFFFF" w:themeColor="background1"/>
              </w:rPr>
              <w:t>3</w:t>
            </w:r>
          </w:p>
        </w:tc>
        <w:tc>
          <w:tcPr>
            <w:tcW w:w="7937" w:type="dxa"/>
            <w:shd w:val="clear" w:color="auto" w:fill="F2F2F2" w:themeFill="background1" w:themeFillShade="F2"/>
            <w:vAlign w:val="center"/>
          </w:tcPr>
          <w:p w:rsidRPr="00667C5D" w:rsidR="00516617" w:rsidP="001B36EE" w:rsidRDefault="00516617" w14:paraId="56B3E07A" w14:textId="145DB751">
            <w:pPr>
              <w:jc w:val="center"/>
              <w:rPr>
                <w:rFonts w:ascii="Poppins" w:hAnsi="Poppins" w:cs="Poppins"/>
                <w:color w:val="0023C8"/>
              </w:rPr>
            </w:pPr>
            <w:r w:rsidRPr="00667C5D">
              <w:rPr>
                <w:rFonts w:ascii="Poppins" w:hAnsi="Poppins" w:cs="Poppins"/>
                <w:color w:val="0023C8"/>
              </w:rPr>
              <w:t>4</w:t>
            </w:r>
          </w:p>
        </w:tc>
      </w:tr>
      <w:tr w:rsidRPr="00667C5D" w:rsidR="00667C5D" w:rsidTr="00667C5D" w14:paraId="6CDE064E" w14:textId="77777777">
        <w:trPr>
          <w:trHeight w:val="454"/>
        </w:trPr>
        <w:tc>
          <w:tcPr>
            <w:tcW w:w="850" w:type="dxa"/>
            <w:shd w:val="clear" w:color="auto" w:fill="4B69FF"/>
            <w:vAlign w:val="center"/>
          </w:tcPr>
          <w:p w:rsidRPr="00667C5D" w:rsidR="00516617" w:rsidP="001B36EE" w:rsidRDefault="00516617" w14:paraId="14794B87" w14:textId="42E226A0">
            <w:pPr>
              <w:jc w:val="center"/>
              <w:rPr>
                <w:rFonts w:ascii="Poppins" w:hAnsi="Poppins" w:cs="Poppins"/>
                <w:color w:val="FFFFFF" w:themeColor="background1"/>
              </w:rPr>
            </w:pPr>
            <w:r w:rsidRPr="00667C5D">
              <w:rPr>
                <w:rFonts w:ascii="Poppins" w:hAnsi="Poppins" w:cs="Poppins"/>
                <w:color w:val="FFFFFF" w:themeColor="background1"/>
              </w:rPr>
              <w:t>4</w:t>
            </w:r>
          </w:p>
        </w:tc>
        <w:tc>
          <w:tcPr>
            <w:tcW w:w="7937" w:type="dxa"/>
            <w:shd w:val="clear" w:color="auto" w:fill="F2F2F2" w:themeFill="background1" w:themeFillShade="F2"/>
            <w:vAlign w:val="center"/>
          </w:tcPr>
          <w:p w:rsidRPr="00667C5D" w:rsidR="00516617" w:rsidP="001B36EE" w:rsidRDefault="00516617" w14:paraId="0C5325CE" w14:textId="6A4E6468">
            <w:pPr>
              <w:jc w:val="center"/>
              <w:rPr>
                <w:rFonts w:ascii="Poppins" w:hAnsi="Poppins" w:cs="Poppins"/>
                <w:color w:val="0023C8"/>
              </w:rPr>
            </w:pPr>
            <w:r w:rsidRPr="00667C5D">
              <w:rPr>
                <w:rFonts w:ascii="Poppins" w:hAnsi="Poppins" w:cs="Poppins"/>
                <w:color w:val="0023C8"/>
              </w:rPr>
              <w:t>6</w:t>
            </w:r>
          </w:p>
        </w:tc>
      </w:tr>
      <w:tr w:rsidRPr="00667C5D" w:rsidR="00667C5D" w:rsidTr="00667C5D" w14:paraId="67FC1403" w14:textId="77777777">
        <w:trPr>
          <w:trHeight w:val="454"/>
        </w:trPr>
        <w:tc>
          <w:tcPr>
            <w:tcW w:w="850" w:type="dxa"/>
            <w:shd w:val="clear" w:color="auto" w:fill="4B69FF"/>
            <w:vAlign w:val="center"/>
          </w:tcPr>
          <w:p w:rsidRPr="00667C5D" w:rsidR="00516617" w:rsidP="001B36EE" w:rsidRDefault="00516617" w14:paraId="1CA4E090" w14:textId="78F0A196">
            <w:pPr>
              <w:jc w:val="center"/>
              <w:rPr>
                <w:rFonts w:ascii="Poppins" w:hAnsi="Poppins" w:cs="Poppins"/>
                <w:color w:val="FFFFFF" w:themeColor="background1"/>
              </w:rPr>
            </w:pPr>
            <w:r w:rsidRPr="00667C5D">
              <w:rPr>
                <w:rFonts w:ascii="Poppins" w:hAnsi="Poppins" w:cs="Poppins"/>
                <w:color w:val="FFFFFF" w:themeColor="background1"/>
              </w:rPr>
              <w:t>5</w:t>
            </w:r>
          </w:p>
        </w:tc>
        <w:tc>
          <w:tcPr>
            <w:tcW w:w="7937" w:type="dxa"/>
            <w:shd w:val="clear" w:color="auto" w:fill="F2F2F2" w:themeFill="background1" w:themeFillShade="F2"/>
            <w:vAlign w:val="center"/>
          </w:tcPr>
          <w:p w:rsidRPr="00667C5D" w:rsidR="00516617" w:rsidP="001B36EE" w:rsidRDefault="00516617" w14:paraId="7C47C276" w14:textId="5C6EDCA5">
            <w:pPr>
              <w:jc w:val="center"/>
              <w:rPr>
                <w:rFonts w:ascii="Poppins" w:hAnsi="Poppins" w:cs="Poppins"/>
                <w:color w:val="0023C8"/>
              </w:rPr>
            </w:pPr>
            <w:r w:rsidRPr="00667C5D">
              <w:rPr>
                <w:rFonts w:ascii="Poppins" w:hAnsi="Poppins" w:cs="Poppins"/>
                <w:color w:val="0023C8"/>
              </w:rPr>
              <w:t>7</w:t>
            </w:r>
          </w:p>
        </w:tc>
      </w:tr>
    </w:tbl>
    <w:p w:rsidR="001B36EE" w:rsidP="001B36EE" w:rsidRDefault="001B36EE" w14:paraId="66775EB0" w14:textId="77777777">
      <w:pPr>
        <w:pStyle w:val="Heading1"/>
        <w:spacing w:before="120" w:line="240" w:lineRule="auto"/>
        <w:rPr>
          <w:rFonts w:ascii="Poppins" w:hAnsi="Poppins" w:cs="Poppins"/>
          <w:color w:val="0023C8"/>
        </w:rPr>
      </w:pPr>
    </w:p>
    <w:p w:rsidRPr="00C43185" w:rsidR="00053E01" w:rsidP="001B36EE" w:rsidRDefault="00D11771" w14:paraId="2B6604BD" w14:textId="52B0DF67">
      <w:pPr>
        <w:pStyle w:val="Heading1"/>
        <w:spacing w:before="120" w:line="240" w:lineRule="auto"/>
        <w:rPr>
          <w:rFonts w:ascii="Poppins" w:hAnsi="Poppins" w:cs="Poppins"/>
        </w:rPr>
      </w:pPr>
      <w:bookmarkStart w:name="_Toc229391553" w:id="39"/>
      <w:r w:rsidRPr="00931E2C">
        <w:rPr>
          <w:rFonts w:ascii="Poppins" w:hAnsi="Poppins" w:cs="Poppins"/>
          <w:color w:val="0023C8"/>
        </w:rPr>
        <w:t xml:space="preserve">Appendix 3. </w:t>
      </w:r>
      <w:r w:rsidRPr="00931E2C" w:rsidR="00053E01">
        <w:rPr>
          <w:rFonts w:ascii="Poppins" w:hAnsi="Poppins" w:cs="Poppins"/>
          <w:color w:val="0023C8"/>
        </w:rPr>
        <w:t>Dosing, adverse event mitigation and management considerations</w:t>
      </w:r>
      <w:r w:rsidRPr="00931E2C" w:rsidR="000E37C1">
        <w:rPr>
          <w:rFonts w:ascii="Poppins" w:hAnsi="Poppins" w:eastAsia="Times New Roman" w:cs="Poppins"/>
          <w:color w:val="0023C8"/>
        </w:rPr>
        <w:t xml:space="preserve"> </w:t>
      </w:r>
      <w:r w:rsidRPr="00C43185" w:rsidR="00F908E9">
        <w:rPr>
          <w:rFonts w:ascii="Poppins" w:hAnsi="Poppins" w:cs="Poppins"/>
          <w:b w:val="0"/>
          <w:bCs w:val="0"/>
          <w:color w:val="auto"/>
          <w:sz w:val="24"/>
          <w:szCs w:val="24"/>
        </w:rPr>
        <w:t>(see Tzield SmPC for full details)</w:t>
      </w:r>
      <w:bookmarkEnd w:id="39"/>
    </w:p>
    <w:p w:rsidRPr="00C43185" w:rsidR="00053E01" w:rsidP="001B36EE" w:rsidRDefault="00053E01" w14:paraId="54876FCD" w14:textId="335C1164">
      <w:pPr>
        <w:spacing w:before="120" w:after="60" w:line="240" w:lineRule="auto"/>
        <w:rPr>
          <w:rFonts w:ascii="Poppins" w:hAnsi="Poppins" w:eastAsia="Times New Roman" w:cs="Poppins"/>
        </w:rPr>
      </w:pPr>
      <w:r w:rsidRPr="00C43185">
        <w:rPr>
          <w:rFonts w:ascii="Poppins" w:hAnsi="Poppins" w:eastAsia="Times New Roman" w:cs="Poppins"/>
          <w:b/>
          <w:bCs/>
        </w:rPr>
        <w:t>Dosing</w:t>
      </w:r>
      <w:r w:rsidRPr="00C43185" w:rsidR="00E71BCF">
        <w:rPr>
          <w:rFonts w:ascii="Poppins" w:hAnsi="Poppins" w:eastAsia="Times New Roman" w:cs="Poppins"/>
          <w:b/>
          <w:bCs/>
        </w:rPr>
        <w:t xml:space="preserve"> and administration</w:t>
      </w:r>
      <w:r w:rsidRPr="00C43185">
        <w:rPr>
          <w:rFonts w:ascii="Poppins" w:hAnsi="Poppins" w:eastAsia="Times New Roman" w:cs="Poppins"/>
        </w:rPr>
        <w:t>:</w:t>
      </w:r>
    </w:p>
    <w:p w:rsidRPr="00931E2C" w:rsidR="00053E01" w:rsidP="001B36EE" w:rsidRDefault="00007BC7" w14:paraId="59B04EB4" w14:textId="73529E94">
      <w:pPr>
        <w:spacing w:after="120" w:line="240" w:lineRule="auto"/>
        <w:rPr>
          <w:rFonts w:ascii="Poppins" w:hAnsi="Poppins" w:cs="Poppins"/>
          <w:spacing w:val="-2"/>
          <w:sz w:val="20"/>
          <w:szCs w:val="20"/>
        </w:rPr>
      </w:pPr>
      <w:r w:rsidRPr="00931E2C">
        <w:rPr>
          <w:rFonts w:ascii="Poppins" w:hAnsi="Poppins" w:eastAsia="Times New Roman" w:cs="Poppins"/>
          <w:sz w:val="20"/>
          <w:szCs w:val="20"/>
        </w:rPr>
        <w:t>T</w:t>
      </w:r>
      <w:r w:rsidRPr="00931E2C" w:rsidR="006A24B1">
        <w:rPr>
          <w:rFonts w:ascii="Poppins" w:hAnsi="Poppins" w:eastAsia="Times New Roman" w:cs="Poppins"/>
          <w:sz w:val="20"/>
          <w:szCs w:val="20"/>
        </w:rPr>
        <w:t>eplizumab</w:t>
      </w:r>
      <w:r w:rsidRPr="00931E2C" w:rsidR="00053E01">
        <w:rPr>
          <w:rFonts w:ascii="Poppins" w:hAnsi="Poppins" w:eastAsia="Times New Roman" w:cs="Poppins"/>
          <w:sz w:val="20"/>
          <w:szCs w:val="20"/>
        </w:rPr>
        <w:t xml:space="preserve"> is administered by intravenous infusion over a minimum of 30 minutes, using </w:t>
      </w:r>
      <w:r w:rsidRPr="00931E2C" w:rsidR="00764F52">
        <w:rPr>
          <w:rFonts w:ascii="Poppins" w:hAnsi="Poppins" w:eastAsia="Times New Roman" w:cs="Poppins"/>
          <w:sz w:val="20"/>
          <w:szCs w:val="20"/>
        </w:rPr>
        <w:t>body surface areas (</w:t>
      </w:r>
      <w:r w:rsidRPr="00931E2C" w:rsidR="00053E01">
        <w:rPr>
          <w:rFonts w:ascii="Poppins" w:hAnsi="Poppins" w:eastAsia="Times New Roman" w:cs="Poppins"/>
          <w:sz w:val="20"/>
          <w:szCs w:val="20"/>
        </w:rPr>
        <w:t>BSA</w:t>
      </w:r>
      <w:r w:rsidRPr="00931E2C" w:rsidR="00764F52">
        <w:rPr>
          <w:rFonts w:ascii="Poppins" w:hAnsi="Poppins" w:eastAsia="Times New Roman" w:cs="Poppins"/>
          <w:sz w:val="20"/>
          <w:szCs w:val="20"/>
        </w:rPr>
        <w:t>)</w:t>
      </w:r>
      <w:r w:rsidRPr="00931E2C" w:rsidR="00053E01">
        <w:rPr>
          <w:rFonts w:ascii="Poppins" w:hAnsi="Poppins" w:eastAsia="Times New Roman" w:cs="Poppins"/>
          <w:sz w:val="20"/>
          <w:szCs w:val="20"/>
        </w:rPr>
        <w:t>-based dosing for 14 consecutive days</w:t>
      </w:r>
      <w:r w:rsidRPr="00931E2C" w:rsidR="00F908E9">
        <w:rPr>
          <w:rFonts w:ascii="Poppins" w:hAnsi="Poppins" w:eastAsia="Times New Roman" w:cs="Poppins"/>
          <w:sz w:val="20"/>
          <w:szCs w:val="20"/>
        </w:rPr>
        <w:t>:</w:t>
      </w:r>
      <w:r w:rsidRPr="00931E2C" w:rsidR="00053E01">
        <w:rPr>
          <w:rFonts w:ascii="Poppins" w:hAnsi="Poppins" w:cs="Poppins"/>
          <w:spacing w:val="-2"/>
          <w:sz w:val="20"/>
          <w:szCs w:val="20"/>
        </w:rPr>
        <w:fldChar w:fldCharType="begin"/>
      </w:r>
      <w:r w:rsidRPr="00931E2C" w:rsidR="00053E01">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sidR="00053E01">
        <w:rPr>
          <w:rFonts w:ascii="Poppins" w:hAnsi="Poppins" w:cs="Poppins"/>
          <w:spacing w:val="-2"/>
          <w:sz w:val="20"/>
          <w:szCs w:val="20"/>
        </w:rPr>
        <w:fldChar w:fldCharType="separate"/>
      </w:r>
      <w:r w:rsidRPr="00931E2C" w:rsidR="00053E01">
        <w:rPr>
          <w:rFonts w:ascii="Poppins" w:hAnsi="Poppins" w:cs="Poppins"/>
          <w:noProof/>
          <w:spacing w:val="-2"/>
          <w:sz w:val="20"/>
          <w:szCs w:val="20"/>
          <w:vertAlign w:val="superscript"/>
        </w:rPr>
        <w:t>(TZIELD® SmPC)</w:t>
      </w:r>
      <w:r w:rsidRPr="00931E2C" w:rsidR="00053E01">
        <w:rPr>
          <w:rFonts w:ascii="Poppins" w:hAnsi="Poppins" w:cs="Poppins"/>
          <w:spacing w:val="-2"/>
          <w:sz w:val="20"/>
          <w:szCs w:val="20"/>
        </w:rPr>
        <w:fldChar w:fldCharType="end"/>
      </w:r>
    </w:p>
    <w:p w:rsidR="00931E2C" w:rsidP="001B36EE" w:rsidRDefault="00931E2C" w14:paraId="13A38275" w14:textId="77777777">
      <w:pPr>
        <w:pStyle w:val="ListParagraph"/>
        <w:numPr>
          <w:ilvl w:val="0"/>
          <w:numId w:val="34"/>
        </w:numPr>
        <w:spacing w:after="120" w:line="240" w:lineRule="auto"/>
        <w:ind w:left="360" w:right="108"/>
        <w:contextualSpacing w:val="0"/>
        <w:rPr>
          <w:rFonts w:ascii="Poppins" w:hAnsi="Poppins" w:eastAsia="Times New Roman" w:cs="Poppins"/>
          <w:sz w:val="20"/>
          <w:szCs w:val="20"/>
        </w:rPr>
        <w:sectPr w:rsidR="00931E2C" w:rsidSect="00547671">
          <w:headerReference w:type="even" r:id="rId18"/>
          <w:headerReference w:type="default" r:id="rId19"/>
          <w:footerReference w:type="default" r:id="rId20"/>
          <w:headerReference w:type="first" r:id="rId21"/>
          <w:footerReference w:type="first" r:id="rId22"/>
          <w:pgSz w:w="12240" w:h="15840" w:orient="portrait"/>
          <w:pgMar w:top="1276" w:right="1800" w:bottom="1276" w:left="1800" w:header="720" w:footer="720" w:gutter="0"/>
          <w:pgNumType w:start="1"/>
          <w:cols w:space="720"/>
          <w:titlePg/>
          <w:docGrid w:linePitch="360"/>
        </w:sectPr>
      </w:pPr>
    </w:p>
    <w:p w:rsidRPr="00931E2C" w:rsidR="00053E01" w:rsidP="001B36EE" w:rsidRDefault="00053E01" w14:paraId="2AE2DEE5" w14:textId="77777777">
      <w:pPr>
        <w:pStyle w:val="ListParagraph"/>
        <w:numPr>
          <w:ilvl w:val="0"/>
          <w:numId w:val="34"/>
        </w:numPr>
        <w:spacing w:after="120" w:line="240" w:lineRule="auto"/>
        <w:ind w:left="360" w:right="108"/>
        <w:contextualSpacing w:val="0"/>
        <w:rPr>
          <w:rFonts w:ascii="Poppins" w:hAnsi="Poppins" w:eastAsia="Times New Roman" w:cs="Poppins"/>
          <w:sz w:val="20"/>
          <w:szCs w:val="20"/>
        </w:rPr>
      </w:pPr>
      <w:r w:rsidRPr="00931E2C">
        <w:rPr>
          <w:rFonts w:ascii="Poppins" w:hAnsi="Poppins" w:eastAsia="Times New Roman" w:cs="Poppins"/>
          <w:sz w:val="20"/>
          <w:szCs w:val="20"/>
        </w:rPr>
        <w:t>Day 1: 65 mcg/m</w:t>
      </w:r>
      <w:r w:rsidRPr="00931E2C">
        <w:rPr>
          <w:rFonts w:ascii="Poppins" w:hAnsi="Poppins" w:eastAsia="Times New Roman" w:cs="Poppins"/>
          <w:sz w:val="20"/>
          <w:szCs w:val="20"/>
          <w:vertAlign w:val="superscript"/>
        </w:rPr>
        <w:t>2</w:t>
      </w:r>
    </w:p>
    <w:p w:rsidRPr="00931E2C" w:rsidR="00053E01" w:rsidP="001B36EE" w:rsidRDefault="00053E01" w14:paraId="459388DB" w14:textId="77777777">
      <w:pPr>
        <w:pStyle w:val="ListParagraph"/>
        <w:numPr>
          <w:ilvl w:val="0"/>
          <w:numId w:val="34"/>
        </w:numPr>
        <w:spacing w:before="120" w:after="120" w:line="240" w:lineRule="auto"/>
        <w:ind w:left="360" w:right="108"/>
        <w:contextualSpacing w:val="0"/>
        <w:rPr>
          <w:rFonts w:ascii="Poppins" w:hAnsi="Poppins" w:eastAsia="Times New Roman" w:cs="Poppins"/>
          <w:sz w:val="20"/>
          <w:szCs w:val="20"/>
        </w:rPr>
      </w:pPr>
      <w:r w:rsidRPr="00931E2C">
        <w:rPr>
          <w:rFonts w:ascii="Poppins" w:hAnsi="Poppins" w:eastAsia="Times New Roman" w:cs="Poppins"/>
          <w:sz w:val="20"/>
          <w:szCs w:val="20"/>
        </w:rPr>
        <w:t>Day 2: 125 mcg/m</w:t>
      </w:r>
      <w:r w:rsidRPr="00931E2C">
        <w:rPr>
          <w:rFonts w:ascii="Poppins" w:hAnsi="Poppins" w:eastAsia="Times New Roman" w:cs="Poppins"/>
          <w:sz w:val="20"/>
          <w:szCs w:val="20"/>
          <w:vertAlign w:val="superscript"/>
        </w:rPr>
        <w:t xml:space="preserve">2 </w:t>
      </w:r>
    </w:p>
    <w:p w:rsidRPr="00931E2C" w:rsidR="00053E01" w:rsidP="001B36EE" w:rsidRDefault="00053E01" w14:paraId="619C8C54" w14:textId="48302C42">
      <w:pPr>
        <w:pStyle w:val="ListParagraph"/>
        <w:numPr>
          <w:ilvl w:val="0"/>
          <w:numId w:val="34"/>
        </w:numPr>
        <w:spacing w:after="120" w:line="240" w:lineRule="auto"/>
        <w:ind w:left="360"/>
        <w:rPr>
          <w:rFonts w:ascii="Poppins" w:hAnsi="Poppins" w:cs="Poppins"/>
          <w:spacing w:val="-2"/>
          <w:sz w:val="20"/>
          <w:szCs w:val="20"/>
        </w:rPr>
      </w:pPr>
      <w:r w:rsidRPr="00931E2C">
        <w:rPr>
          <w:rFonts w:ascii="Poppins" w:hAnsi="Poppins" w:eastAsia="Times New Roman" w:cs="Poppins"/>
          <w:sz w:val="20"/>
          <w:szCs w:val="20"/>
        </w:rPr>
        <w:t>Day 3: 250 mcg/m</w:t>
      </w:r>
      <w:r w:rsidRPr="00931E2C">
        <w:rPr>
          <w:rFonts w:ascii="Poppins" w:hAnsi="Poppins" w:eastAsia="Times New Roman" w:cs="Poppins"/>
          <w:sz w:val="20"/>
          <w:szCs w:val="20"/>
          <w:vertAlign w:val="superscript"/>
        </w:rPr>
        <w:t>2</w:t>
      </w:r>
    </w:p>
    <w:p w:rsidRPr="00931E2C" w:rsidR="00053E01" w:rsidP="001B36EE" w:rsidRDefault="00053E01" w14:paraId="2A9D3AA1" w14:textId="77777777">
      <w:pPr>
        <w:pStyle w:val="ListParagraph"/>
        <w:numPr>
          <w:ilvl w:val="0"/>
          <w:numId w:val="34"/>
        </w:numPr>
        <w:spacing w:before="120" w:after="120" w:line="240" w:lineRule="auto"/>
        <w:ind w:left="360" w:right="108"/>
        <w:contextualSpacing w:val="0"/>
        <w:rPr>
          <w:rFonts w:ascii="Poppins" w:hAnsi="Poppins" w:eastAsia="Times New Roman" w:cs="Poppins"/>
          <w:sz w:val="20"/>
          <w:szCs w:val="20"/>
        </w:rPr>
      </w:pPr>
      <w:r w:rsidRPr="00931E2C">
        <w:rPr>
          <w:rFonts w:ascii="Poppins" w:hAnsi="Poppins" w:eastAsia="Times New Roman" w:cs="Poppins"/>
          <w:sz w:val="20"/>
          <w:szCs w:val="20"/>
        </w:rPr>
        <w:t>Day 4: 500 mcg/m</w:t>
      </w:r>
      <w:r w:rsidRPr="00931E2C">
        <w:rPr>
          <w:rFonts w:ascii="Poppins" w:hAnsi="Poppins" w:eastAsia="Times New Roman" w:cs="Poppins"/>
          <w:sz w:val="20"/>
          <w:szCs w:val="20"/>
          <w:vertAlign w:val="superscript"/>
        </w:rPr>
        <w:t>2</w:t>
      </w:r>
    </w:p>
    <w:p w:rsidRPr="00931E2C" w:rsidR="00053E01" w:rsidP="001B36EE" w:rsidRDefault="00053E01" w14:paraId="55FF7A49" w14:textId="77777777">
      <w:pPr>
        <w:pStyle w:val="ListParagraph"/>
        <w:numPr>
          <w:ilvl w:val="0"/>
          <w:numId w:val="34"/>
        </w:numPr>
        <w:spacing w:line="240" w:lineRule="auto"/>
        <w:ind w:left="360"/>
        <w:rPr>
          <w:rFonts w:ascii="Poppins" w:hAnsi="Poppins" w:eastAsia="Times New Roman" w:cs="Poppins"/>
          <w:sz w:val="20"/>
          <w:szCs w:val="20"/>
        </w:rPr>
      </w:pPr>
      <w:r w:rsidRPr="00931E2C">
        <w:rPr>
          <w:rFonts w:ascii="Poppins" w:hAnsi="Poppins" w:eastAsia="Times New Roman" w:cs="Poppins"/>
          <w:sz w:val="20"/>
          <w:szCs w:val="20"/>
        </w:rPr>
        <w:t>Days 5 through 14: 1,030 mcg/m</w:t>
      </w:r>
      <w:r w:rsidRPr="00931E2C">
        <w:rPr>
          <w:rFonts w:ascii="Poppins" w:hAnsi="Poppins" w:eastAsia="Times New Roman" w:cs="Poppins"/>
          <w:sz w:val="20"/>
          <w:szCs w:val="20"/>
          <w:vertAlign w:val="superscript"/>
        </w:rPr>
        <w:t>2</w:t>
      </w:r>
    </w:p>
    <w:p w:rsidR="00931E2C" w:rsidP="001B36EE" w:rsidRDefault="00931E2C" w14:paraId="02D07D2D" w14:textId="77777777">
      <w:pPr>
        <w:autoSpaceDE w:val="0"/>
        <w:autoSpaceDN w:val="0"/>
        <w:adjustRightInd w:val="0"/>
        <w:spacing w:after="0" w:line="240" w:lineRule="auto"/>
        <w:rPr>
          <w:rFonts w:ascii="Poppins" w:hAnsi="Poppins" w:eastAsia="Times New Roman" w:cs="Poppins"/>
          <w:sz w:val="20"/>
          <w:szCs w:val="20"/>
        </w:rPr>
        <w:sectPr w:rsidR="00931E2C" w:rsidSect="00931E2C">
          <w:type w:val="continuous"/>
          <w:pgSz w:w="12240" w:h="15840" w:orient="portrait"/>
          <w:pgMar w:top="1276" w:right="1800" w:bottom="1276" w:left="1800" w:header="720" w:footer="720" w:gutter="0"/>
          <w:pgNumType w:start="0"/>
          <w:cols w:space="720" w:num="2"/>
          <w:titlePg/>
          <w:docGrid w:linePitch="360"/>
        </w:sectPr>
      </w:pPr>
    </w:p>
    <w:p w:rsidRPr="00B0655E" w:rsidR="00E71BCF" w:rsidP="001B36EE" w:rsidRDefault="00053E01" w14:paraId="20F38F8E" w14:textId="20DE958F">
      <w:pPr>
        <w:autoSpaceDE w:val="0"/>
        <w:autoSpaceDN w:val="0"/>
        <w:adjustRightInd w:val="0"/>
        <w:spacing w:before="120" w:after="120" w:line="240" w:lineRule="auto"/>
        <w:rPr>
          <w:rFonts w:ascii="Poppins" w:hAnsi="Poppins" w:cs="Poppins"/>
          <w:spacing w:val="-2"/>
          <w:sz w:val="20"/>
          <w:szCs w:val="20"/>
        </w:rPr>
      </w:pPr>
      <w:r w:rsidRPr="00931E2C">
        <w:rPr>
          <w:rFonts w:ascii="Poppins" w:hAnsi="Poppins" w:eastAsia="Times New Roman" w:cs="Poppins"/>
          <w:sz w:val="20"/>
          <w:szCs w:val="20"/>
        </w:rPr>
        <w:t xml:space="preserve">Premedicate prior to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 xml:space="preserve"> infusion for the first five days of dosing with a non-steroidal anti-inflammatory drug (NSAID) or paracetamol, an antihistamine, and/or an antiemetic. Administer additional doses of premedication if needed</w:t>
      </w:r>
      <w:r w:rsidRPr="00931E2C" w:rsidR="00F908E9">
        <w:rPr>
          <w:rFonts w:ascii="Poppins" w:hAnsi="Poppins" w:eastAsia="Times New Roman" w:cs="Poppins"/>
          <w:sz w:val="20"/>
          <w:szCs w:val="20"/>
        </w:rPr>
        <w:t>.</w:t>
      </w:r>
      <w:r w:rsidRPr="00931E2C" w:rsidR="00F908E9">
        <w:rPr>
          <w:rFonts w:ascii="Poppins" w:hAnsi="Poppins" w:cs="Poppins"/>
          <w:spacing w:val="-2"/>
          <w:sz w:val="20"/>
          <w:szCs w:val="20"/>
        </w:rPr>
        <w:fldChar w:fldCharType="begin"/>
      </w:r>
      <w:r w:rsidRPr="00931E2C" w:rsidR="00F908E9">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sidR="00F908E9">
        <w:rPr>
          <w:rFonts w:ascii="Poppins" w:hAnsi="Poppins" w:cs="Poppins"/>
          <w:spacing w:val="-2"/>
          <w:sz w:val="20"/>
          <w:szCs w:val="20"/>
        </w:rPr>
        <w:fldChar w:fldCharType="separate"/>
      </w:r>
      <w:r w:rsidRPr="00931E2C" w:rsidR="00F908E9">
        <w:rPr>
          <w:rFonts w:ascii="Poppins" w:hAnsi="Poppins" w:cs="Poppins"/>
          <w:noProof/>
          <w:spacing w:val="-2"/>
          <w:sz w:val="20"/>
          <w:szCs w:val="20"/>
          <w:vertAlign w:val="superscript"/>
        </w:rPr>
        <w:t>(TZIELD® SmPC)</w:t>
      </w:r>
      <w:r w:rsidRPr="00931E2C" w:rsidR="00F908E9">
        <w:rPr>
          <w:rFonts w:ascii="Poppins" w:hAnsi="Poppins" w:cs="Poppins"/>
          <w:spacing w:val="-2"/>
          <w:sz w:val="20"/>
          <w:szCs w:val="20"/>
        </w:rPr>
        <w:fldChar w:fldCharType="end"/>
      </w:r>
    </w:p>
    <w:p w:rsidRPr="00B0655E" w:rsidR="00F908E9" w:rsidP="001B36EE" w:rsidRDefault="00E71BCF" w14:paraId="772EA31B" w14:textId="161C554F">
      <w:pPr>
        <w:autoSpaceDE w:val="0"/>
        <w:autoSpaceDN w:val="0"/>
        <w:adjustRightInd w:val="0"/>
        <w:spacing w:after="120" w:line="240" w:lineRule="auto"/>
        <w:rPr>
          <w:rFonts w:ascii="Poppins" w:hAnsi="Poppins" w:cs="Poppins"/>
          <w:spacing w:val="-2"/>
          <w:sz w:val="20"/>
          <w:szCs w:val="20"/>
        </w:rPr>
      </w:pPr>
      <w:r w:rsidRPr="00931E2C">
        <w:rPr>
          <w:rFonts w:ascii="Poppins" w:hAnsi="Poppins" w:eastAsia="Times New Roman" w:cs="Poppins"/>
          <w:sz w:val="20"/>
          <w:szCs w:val="20"/>
        </w:rPr>
        <w:t>Start infusion within 2 hours of preparation. If not used immediately, store infusion at roo</w:t>
      </w:r>
      <w:r w:rsidRPr="00931E2C" w:rsidR="00AB243E">
        <w:rPr>
          <w:rFonts w:ascii="Poppins" w:hAnsi="Poppins" w:eastAsia="Times New Roman" w:cs="Poppins"/>
          <w:sz w:val="20"/>
          <w:szCs w:val="20"/>
        </w:rPr>
        <w:t>m</w:t>
      </w:r>
      <w:r w:rsidRPr="00931E2C">
        <w:rPr>
          <w:rFonts w:ascii="Poppins" w:hAnsi="Poppins" w:eastAsia="Times New Roman" w:cs="Poppins"/>
          <w:sz w:val="20"/>
          <w:szCs w:val="20"/>
        </w:rPr>
        <w:t xml:space="preserve"> temperature and complete infusion within 4 hours of the start of preparation.</w:t>
      </w:r>
      <w:r w:rsidRPr="00931E2C">
        <w:rPr>
          <w:rFonts w:ascii="Poppins" w:hAnsi="Poppins" w:cs="Poppins"/>
          <w:spacing w:val="-2"/>
          <w:sz w:val="20"/>
          <w:szCs w:val="20"/>
        </w:rPr>
        <w:t xml:space="preserve"> </w:t>
      </w:r>
      <w:r w:rsidRPr="00931E2C">
        <w:rPr>
          <w:rFonts w:ascii="Poppins" w:hAnsi="Poppins" w:cs="Poppins"/>
          <w:spacing w:val="-2"/>
          <w:sz w:val="20"/>
          <w:szCs w:val="20"/>
        </w:rPr>
        <w:fldChar w:fldCharType="begin"/>
      </w:r>
      <w:r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rsidRPr="00B0655E" w:rsidR="00902B4D" w:rsidP="001B36EE" w:rsidRDefault="00F908E9" w14:paraId="43CDA7FC" w14:textId="0A0B37F3">
      <w:pPr>
        <w:spacing w:line="240" w:lineRule="auto"/>
        <w:rPr>
          <w:rFonts w:ascii="Poppins" w:hAnsi="Poppins" w:cs="Poppins"/>
          <w:spacing w:val="-2"/>
          <w:sz w:val="20"/>
          <w:szCs w:val="20"/>
        </w:rPr>
      </w:pPr>
      <w:r w:rsidRPr="00931E2C">
        <w:rPr>
          <w:rFonts w:ascii="Poppins" w:hAnsi="Poppins" w:eastAsia="Times New Roman" w:cs="Poppins"/>
          <w:sz w:val="20"/>
          <w:szCs w:val="20"/>
        </w:rPr>
        <w:t>If an infusion is missed resume by administering all remaining doses on consecutive days to complete the 14-day course. .</w:t>
      </w:r>
      <w:r w:rsidRPr="00931E2C">
        <w:rPr>
          <w:rFonts w:ascii="Poppins" w:hAnsi="Poppins" w:cs="Poppins"/>
          <w:spacing w:val="-2"/>
          <w:sz w:val="20"/>
          <w:szCs w:val="20"/>
        </w:rPr>
        <w:fldChar w:fldCharType="begin"/>
      </w:r>
      <w:r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rsidRPr="00C43185" w:rsidR="00F908E9" w:rsidP="001B36EE" w:rsidRDefault="00F908E9" w14:paraId="02674C0C" w14:textId="3675487B">
      <w:pPr>
        <w:pBdr>
          <w:top w:val="single" w:color="0023C8" w:sz="18" w:space="12"/>
        </w:pBdr>
        <w:spacing w:after="60" w:line="240" w:lineRule="auto"/>
        <w:rPr>
          <w:rFonts w:ascii="Poppins" w:hAnsi="Poppins" w:eastAsia="Times New Roman" w:cs="Poppins"/>
          <w:b/>
          <w:bCs/>
        </w:rPr>
      </w:pPr>
      <w:r w:rsidRPr="00C43185">
        <w:rPr>
          <w:rFonts w:ascii="Poppins" w:hAnsi="Poppins" w:eastAsia="Times New Roman" w:cs="Poppins"/>
          <w:b/>
          <w:bCs/>
        </w:rPr>
        <w:t>Adverse event mitigation</w:t>
      </w:r>
    </w:p>
    <w:p w:rsidRPr="00931E2C" w:rsidR="00F908E9" w:rsidP="001B36EE" w:rsidRDefault="00F908E9" w14:paraId="7D87EBF9" w14:textId="79016069">
      <w:pPr>
        <w:pStyle w:val="ListParagraph"/>
        <w:numPr>
          <w:ilvl w:val="0"/>
          <w:numId w:val="35"/>
        </w:numPr>
        <w:spacing w:after="60" w:line="240" w:lineRule="auto"/>
        <w:ind w:left="360"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Cytokine release syndrome (CRS) was reported in 6% of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-treated patients</w:t>
      </w:r>
      <w:r w:rsidRPr="00931E2C" w:rsidR="003449A4">
        <w:rPr>
          <w:rFonts w:ascii="Poppins" w:hAnsi="Poppins" w:eastAsia="Times New Roman" w:cs="Poppins"/>
          <w:sz w:val="20"/>
          <w:szCs w:val="20"/>
        </w:rPr>
        <w:t xml:space="preserve">. </w:t>
      </w:r>
      <w:r w:rsidRPr="00931E2C">
        <w:rPr>
          <w:rFonts w:ascii="Poppins" w:hAnsi="Poppins" w:eastAsia="Times New Roman" w:cs="Poppins"/>
          <w:sz w:val="20"/>
          <w:szCs w:val="20"/>
        </w:rPr>
        <w:t>Mitigation guidance for CRS is as follows:</w:t>
      </w:r>
      <w:r w:rsidRPr="00931E2C" w:rsidR="003449A4">
        <w:rPr>
          <w:rFonts w:ascii="Poppins" w:hAnsi="Poppins" w:cs="Poppins"/>
          <w:spacing w:val="-2"/>
          <w:sz w:val="20"/>
          <w:szCs w:val="20"/>
        </w:rPr>
        <w:fldChar w:fldCharType="begin"/>
      </w:r>
      <w:r w:rsidRPr="00931E2C" w:rsidR="003449A4">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sidR="003449A4">
        <w:rPr>
          <w:rFonts w:ascii="Poppins" w:hAnsi="Poppins" w:cs="Poppins"/>
          <w:spacing w:val="-2"/>
          <w:sz w:val="20"/>
          <w:szCs w:val="20"/>
        </w:rPr>
        <w:fldChar w:fldCharType="separate"/>
      </w:r>
      <w:r w:rsidRPr="00931E2C" w:rsidR="003449A4">
        <w:rPr>
          <w:rFonts w:ascii="Poppins" w:hAnsi="Poppins" w:cs="Poppins"/>
          <w:noProof/>
          <w:spacing w:val="-2"/>
          <w:sz w:val="20"/>
          <w:szCs w:val="20"/>
          <w:vertAlign w:val="superscript"/>
        </w:rPr>
        <w:t>(TZIELD® SmPC)</w:t>
      </w:r>
      <w:r w:rsidRPr="00931E2C" w:rsidR="003449A4">
        <w:rPr>
          <w:rFonts w:ascii="Poppins" w:hAnsi="Poppins" w:cs="Poppins"/>
          <w:spacing w:val="-2"/>
          <w:sz w:val="20"/>
          <w:szCs w:val="20"/>
        </w:rPr>
        <w:fldChar w:fldCharType="end"/>
      </w:r>
    </w:p>
    <w:p w:rsidRPr="00931E2C" w:rsidR="00F908E9" w:rsidP="001B36EE" w:rsidRDefault="00F908E9" w14:paraId="2229B20E" w14:textId="0B421703">
      <w:pPr>
        <w:pStyle w:val="ListParagraph"/>
        <w:numPr>
          <w:ilvl w:val="1"/>
          <w:numId w:val="35"/>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Premedicate with antipyretics, antihistamines, and/or antiemetics prior to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 xml:space="preserve"> treatment</w:t>
      </w:r>
    </w:p>
    <w:p w:rsidRPr="00931E2C" w:rsidR="00F908E9" w:rsidP="001B36EE" w:rsidRDefault="00F908E9" w14:paraId="17FDA688" w14:textId="7DFF3069">
      <w:pPr>
        <w:pStyle w:val="ListParagraph"/>
        <w:numPr>
          <w:ilvl w:val="1"/>
          <w:numId w:val="35"/>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Monitor liver enzymes and bilirubin during treatment. Discontinue Tzield treatment in patients who develop elevated ALT or AST more than 5 times the upper limit of normal (ULN) or bilirubin more than 3 times the ULN</w:t>
      </w:r>
    </w:p>
    <w:p w:rsidRPr="00931E2C" w:rsidR="00F908E9" w:rsidP="001B36EE" w:rsidRDefault="00F908E9" w14:paraId="4F841153" w14:textId="37DA0B9F">
      <w:pPr>
        <w:pStyle w:val="ListParagraph"/>
        <w:numPr>
          <w:ilvl w:val="1"/>
          <w:numId w:val="35"/>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Treat symptoms of CRS with antipyretics, antihistamines, and/or antiemetics. If severe CRS develops, consider temporarily pausing dosing for 1–2 days (and administer the remaining doses to complete the full 14-day course on consecutive days) or discontinuing treatment</w:t>
      </w:r>
    </w:p>
    <w:p w:rsidRPr="00931E2C" w:rsidR="00076DFC" w:rsidP="001B36EE" w:rsidRDefault="00076DFC" w14:paraId="0718E01D" w14:textId="44F9CC71">
      <w:pPr>
        <w:pStyle w:val="ListParagraph"/>
        <w:numPr>
          <w:ilvl w:val="0"/>
          <w:numId w:val="35"/>
        </w:numPr>
        <w:spacing w:after="60" w:line="240" w:lineRule="auto"/>
        <w:ind w:left="360"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Lymphopenia is an expected and very common adverse reaction to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 xml:space="preserve"> that is often resolved by Week 6</w:t>
      </w:r>
      <w:r w:rsidRPr="00931E2C" w:rsidR="003449A4">
        <w:rPr>
          <w:rFonts w:ascii="Poppins" w:hAnsi="Poppins" w:eastAsia="Times New Roman" w:cs="Poppins"/>
          <w:sz w:val="20"/>
          <w:szCs w:val="20"/>
        </w:rPr>
        <w:t xml:space="preserve">. Guidance for lymphopenia is as follows: </w:t>
      </w:r>
      <w:r w:rsidRPr="00931E2C" w:rsidR="003449A4">
        <w:rPr>
          <w:rFonts w:ascii="Poppins" w:hAnsi="Poppins" w:cs="Poppins"/>
          <w:spacing w:val="-2"/>
          <w:sz w:val="20"/>
          <w:szCs w:val="20"/>
        </w:rPr>
        <w:fldChar w:fldCharType="begin"/>
      </w:r>
      <w:r w:rsidRPr="00931E2C" w:rsidR="003449A4">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sidR="003449A4">
        <w:rPr>
          <w:rFonts w:ascii="Poppins" w:hAnsi="Poppins" w:cs="Poppins"/>
          <w:spacing w:val="-2"/>
          <w:sz w:val="20"/>
          <w:szCs w:val="20"/>
        </w:rPr>
        <w:fldChar w:fldCharType="separate"/>
      </w:r>
      <w:r w:rsidRPr="00931E2C" w:rsidR="003449A4">
        <w:rPr>
          <w:rFonts w:ascii="Poppins" w:hAnsi="Poppins" w:cs="Poppins"/>
          <w:noProof/>
          <w:spacing w:val="-2"/>
          <w:sz w:val="20"/>
          <w:szCs w:val="20"/>
          <w:vertAlign w:val="superscript"/>
        </w:rPr>
        <w:t>(TZIELD® SmPC)</w:t>
      </w:r>
      <w:r w:rsidRPr="00931E2C" w:rsidR="003449A4">
        <w:rPr>
          <w:rFonts w:ascii="Poppins" w:hAnsi="Poppins" w:cs="Poppins"/>
          <w:spacing w:val="-2"/>
          <w:sz w:val="20"/>
          <w:szCs w:val="20"/>
        </w:rPr>
        <w:fldChar w:fldCharType="end"/>
      </w:r>
    </w:p>
    <w:p w:rsidRPr="00931E2C" w:rsidR="003449A4" w:rsidP="001B36EE" w:rsidRDefault="003449A4" w14:paraId="6E69D5B6" w14:textId="399515F5">
      <w:pPr>
        <w:pStyle w:val="ListParagraph"/>
        <w:numPr>
          <w:ilvl w:val="1"/>
          <w:numId w:val="35"/>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Monitor white blood cell counts during the 2-week treatment period</w:t>
      </w:r>
    </w:p>
    <w:p w:rsidRPr="001B36EE" w:rsidR="00902B4D" w:rsidP="001B36EE" w:rsidRDefault="00F4106E" w14:paraId="7E802191" w14:textId="3B792D58">
      <w:pPr>
        <w:pStyle w:val="ListParagraph"/>
        <w:numPr>
          <w:ilvl w:val="1"/>
          <w:numId w:val="35"/>
        </w:numPr>
        <w:spacing w:after="24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I</w:t>
      </w:r>
      <w:r w:rsidRPr="00931E2C" w:rsidR="003449A4">
        <w:rPr>
          <w:rFonts w:ascii="Poppins" w:hAnsi="Poppins" w:eastAsia="Times New Roman" w:cs="Poppins"/>
          <w:sz w:val="20"/>
          <w:szCs w:val="20"/>
        </w:rPr>
        <w:t xml:space="preserve">f prolonged severe lymphopenia (&lt;500 cells/µL, lasting one week or longer) develops, discontinue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p>
    <w:p w:rsidRPr="00C43185" w:rsidR="00053E01" w:rsidP="001B36EE" w:rsidRDefault="0024361A" w14:paraId="3BEB0400" w14:textId="2FD084E9">
      <w:pPr>
        <w:pBdr>
          <w:top w:val="single" w:color="0023C8" w:sz="24" w:space="12"/>
        </w:pBdr>
        <w:spacing w:after="60" w:line="240" w:lineRule="auto"/>
        <w:rPr>
          <w:rFonts w:ascii="Poppins" w:hAnsi="Poppins" w:eastAsia="Times New Roman" w:cs="Poppins"/>
          <w:b/>
          <w:bCs/>
        </w:rPr>
      </w:pPr>
      <w:r w:rsidRPr="00C43185">
        <w:rPr>
          <w:rFonts w:ascii="Poppins" w:hAnsi="Poppins" w:eastAsia="Times New Roman" w:cs="Poppins"/>
          <w:b/>
          <w:bCs/>
        </w:rPr>
        <w:t>Management considerations:</w:t>
      </w:r>
    </w:p>
    <w:p w:rsidRPr="00931E2C" w:rsidR="00D11771" w:rsidP="001B36EE" w:rsidRDefault="0024361A" w14:paraId="3BFDFE24" w14:textId="621DF72B">
      <w:pPr>
        <w:pStyle w:val="ListParagraph"/>
        <w:numPr>
          <w:ilvl w:val="0"/>
          <w:numId w:val="33"/>
        </w:numPr>
        <w:spacing w:after="60" w:line="240" w:lineRule="auto"/>
        <w:ind w:left="360" w:hanging="357"/>
        <w:contextualSpacing w:val="0"/>
        <w:rPr>
          <w:rFonts w:ascii="Poppins" w:hAnsi="Poppins" w:eastAsia="Times New Roman" w:cs="Poppins"/>
          <w:sz w:val="20"/>
          <w:szCs w:val="20"/>
        </w:rPr>
      </w:pPr>
      <w:r w:rsidRPr="00931E2C">
        <w:rPr>
          <w:rFonts w:ascii="Poppins" w:hAnsi="Poppins" w:eastAsia="Times New Roman" w:cs="Poppins"/>
          <w:sz w:val="20"/>
          <w:szCs w:val="20"/>
        </w:rPr>
        <w:t>A</w:t>
      </w:r>
      <w:r w:rsidRPr="00931E2C" w:rsidR="000E37C1">
        <w:rPr>
          <w:rFonts w:ascii="Poppins" w:hAnsi="Poppins" w:eastAsia="Times New Roman" w:cs="Poppins"/>
          <w:sz w:val="20"/>
          <w:szCs w:val="20"/>
        </w:rPr>
        <w:t xml:space="preserve">ge-appropriate vaccinations should be administered prior to starting </w:t>
      </w:r>
      <w:r w:rsidRPr="00931E2C" w:rsidR="00007BC7">
        <w:rPr>
          <w:rFonts w:ascii="Poppins" w:hAnsi="Poppins" w:eastAsia="Times New Roman" w:cs="Poppins"/>
          <w:sz w:val="20"/>
          <w:szCs w:val="20"/>
        </w:rPr>
        <w:t>teplizumab</w:t>
      </w:r>
      <w:r w:rsidRPr="00931E2C" w:rsidR="000E37C1">
        <w:rPr>
          <w:rFonts w:ascii="Poppins" w:hAnsi="Poppins" w:cs="Poppins"/>
          <w:spacing w:val="-2"/>
          <w:sz w:val="20"/>
          <w:szCs w:val="20"/>
        </w:rPr>
        <w:fldChar w:fldCharType="begin"/>
      </w:r>
      <w:r w:rsidRPr="00931E2C" w:rsidR="000E37C1">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sidR="000E37C1">
        <w:rPr>
          <w:rFonts w:ascii="Poppins" w:hAnsi="Poppins" w:cs="Poppins"/>
          <w:spacing w:val="-2"/>
          <w:sz w:val="20"/>
          <w:szCs w:val="20"/>
        </w:rPr>
        <w:fldChar w:fldCharType="separate"/>
      </w:r>
      <w:r w:rsidRPr="00931E2C" w:rsidR="000E37C1">
        <w:rPr>
          <w:rFonts w:ascii="Poppins" w:hAnsi="Poppins" w:cs="Poppins"/>
          <w:noProof/>
          <w:spacing w:val="-2"/>
          <w:sz w:val="20"/>
          <w:szCs w:val="20"/>
          <w:vertAlign w:val="superscript"/>
        </w:rPr>
        <w:t>(TZIELD® SmPC)</w:t>
      </w:r>
      <w:r w:rsidRPr="00931E2C" w:rsidR="000E37C1">
        <w:rPr>
          <w:rFonts w:ascii="Poppins" w:hAnsi="Poppins" w:cs="Poppins"/>
          <w:spacing w:val="-2"/>
          <w:sz w:val="20"/>
          <w:szCs w:val="20"/>
        </w:rPr>
        <w:fldChar w:fldCharType="end"/>
      </w:r>
    </w:p>
    <w:p w:rsidRPr="00931E2C" w:rsidR="000E37C1" w:rsidP="001B36EE" w:rsidRDefault="000E37C1" w14:paraId="1700603E" w14:textId="48E1F780">
      <w:pPr>
        <w:pStyle w:val="ListParagraph"/>
        <w:numPr>
          <w:ilvl w:val="1"/>
          <w:numId w:val="32"/>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Inactivated or mRNA vaccinations are not recommended within the 2 weeks prior to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 xml:space="preserve"> treatment, during treatment, or 6 weeks after completion of treatment</w:t>
      </w:r>
    </w:p>
    <w:p w:rsidRPr="00931E2C" w:rsidR="000E37C1" w:rsidP="001B36EE" w:rsidRDefault="000E37C1" w14:paraId="149D2F83" w14:textId="609E67DC">
      <w:pPr>
        <w:pStyle w:val="ListParagraph"/>
        <w:numPr>
          <w:ilvl w:val="1"/>
          <w:numId w:val="32"/>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Live-attenuated vaccinations are not recommended within the 8 weeks prior to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 xml:space="preserve"> treatment, during treatment, or up to 52 weeks after treatment</w:t>
      </w:r>
    </w:p>
    <w:p w:rsidRPr="00931E2C" w:rsidR="0024361A" w:rsidP="001B36EE" w:rsidRDefault="0024361A" w14:paraId="058091A1" w14:textId="17BAE565">
      <w:pPr>
        <w:pStyle w:val="ListParagraph"/>
        <w:numPr>
          <w:ilvl w:val="0"/>
          <w:numId w:val="32"/>
        </w:numPr>
        <w:spacing w:after="60" w:line="240" w:lineRule="auto"/>
        <w:ind w:left="360"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Bacterial and viral infections have occurred in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-treated patients including gastroenteritis, cellulitis, pneumonia, abscess and sepsis.</w:t>
      </w:r>
      <w:r w:rsidRPr="00931E2C">
        <w:rPr>
          <w:rFonts w:ascii="Poppins" w:hAnsi="Poppins" w:cs="Poppins"/>
          <w:spacing w:val="-2"/>
          <w:sz w:val="20"/>
          <w:szCs w:val="20"/>
        </w:rPr>
        <w:t xml:space="preserve"> </w:t>
      </w:r>
      <w:r w:rsidRPr="00931E2C">
        <w:rPr>
          <w:rFonts w:ascii="Poppins" w:hAnsi="Poppins" w:cs="Poppins"/>
          <w:spacing w:val="-2"/>
          <w:sz w:val="20"/>
          <w:szCs w:val="20"/>
        </w:rPr>
        <w:fldChar w:fldCharType="begin"/>
      </w:r>
      <w:r w:rsidRPr="00931E2C">
        <w:rPr>
          <w:rFonts w:ascii="Poppins" w:hAnsi="Poppins" w:cs="Poppins"/>
          <w:spacing w:val="-2"/>
          <w:sz w:val="20"/>
          <w:szCs w:val="20"/>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Characteristics&lt;/title&gt;&lt;/titles&gt;&lt;dates&gt;&lt;/dates&gt;&lt;urls&gt;&lt;/urls&gt;&lt;/record&gt;&lt;/Cite&gt;&lt;Cite&gt;&lt;RecNum&gt;29303&lt;/RecNum&gt;&lt;record&gt;&lt;rec-number&gt;29303&lt;/rec-number&gt;&lt;foreign-keys&gt;&lt;key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2025&lt;/title&gt;&lt;/titles&gt;&lt;dates&gt;&lt;/dates&gt;&lt;urls&gt;&lt;/urls&gt;&lt;/record&gt;&lt;/Cite&gt;&lt;/EndNote&gt;</w:instrText>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rsidR="0024361A" w:rsidP="001B36EE" w:rsidRDefault="0024361A" w14:paraId="5D7EAADF" w14:textId="06EEDCFC">
      <w:pPr>
        <w:pStyle w:val="ListParagraph"/>
        <w:numPr>
          <w:ilvl w:val="1"/>
          <w:numId w:val="32"/>
        </w:numPr>
        <w:spacing w:after="60" w:line="240" w:lineRule="auto"/>
        <w:ind w:left="723" w:hanging="357"/>
        <w:contextualSpacing w:val="0"/>
        <w:rPr>
          <w:rFonts w:ascii="Poppins" w:hAnsi="Poppins" w:eastAsia="Times New Roman" w:cs="Poppins"/>
          <w:sz w:val="20"/>
          <w:szCs w:val="20"/>
        </w:rPr>
      </w:pPr>
      <w:r w:rsidRPr="00931E2C">
        <w:rPr>
          <w:rFonts w:ascii="Poppins" w:hAnsi="Poppins" w:eastAsia="Times New Roman" w:cs="Poppins"/>
          <w:sz w:val="20"/>
          <w:szCs w:val="20"/>
        </w:rPr>
        <w:t xml:space="preserve">Monitor patients for signs and symptoms of infection during and after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r w:rsidRPr="00931E2C">
        <w:rPr>
          <w:rFonts w:ascii="Poppins" w:hAnsi="Poppins" w:eastAsia="Times New Roman" w:cs="Poppins"/>
          <w:sz w:val="20"/>
          <w:szCs w:val="20"/>
        </w:rPr>
        <w:t xml:space="preserve"> treatment. If serious infection develops, treat appropriately, and discontinue </w:t>
      </w:r>
      <w:r w:rsidRPr="00931E2C" w:rsidR="006A24B1">
        <w:rPr>
          <w:rFonts w:ascii="Poppins" w:hAnsi="Poppins" w:eastAsia="Times New Roman" w:cs="Poppins"/>
          <w:sz w:val="20"/>
          <w:szCs w:val="20"/>
        </w:rPr>
        <w:t>t</w:t>
      </w:r>
      <w:r w:rsidRPr="00931E2C" w:rsidR="00007BC7">
        <w:rPr>
          <w:rFonts w:ascii="Poppins" w:hAnsi="Poppins" w:eastAsia="Times New Roman" w:cs="Poppins"/>
          <w:sz w:val="20"/>
          <w:szCs w:val="20"/>
        </w:rPr>
        <w:t>eplizumab</w:t>
      </w:r>
    </w:p>
    <w:p w:rsidRPr="008B253D" w:rsidR="008B253D" w:rsidP="001B36EE" w:rsidRDefault="008B253D" w14:paraId="041AAB76" w14:textId="47FE7029">
      <w:pPr>
        <w:pStyle w:val="ListParagraph"/>
        <w:numPr>
          <w:ilvl w:val="0"/>
          <w:numId w:val="53"/>
        </w:numPr>
        <w:spacing w:after="60" w:line="240" w:lineRule="auto"/>
        <w:rPr>
          <w:rFonts w:ascii="Poppins" w:hAnsi="Poppins" w:eastAsia="Times New Roman" w:cs="Poppins"/>
          <w:sz w:val="20"/>
          <w:szCs w:val="20"/>
        </w:rPr>
      </w:pPr>
      <w:r>
        <w:rPr>
          <w:rFonts w:ascii="Poppins" w:hAnsi="Poppins" w:eastAsia="Times New Roman" w:cs="Poppins"/>
          <w:sz w:val="20"/>
          <w:szCs w:val="20"/>
        </w:rPr>
        <w:t>Use of teplizumab is not recommended in patients with l</w:t>
      </w:r>
      <w:r w:rsidRPr="008B253D">
        <w:rPr>
          <w:rFonts w:ascii="Poppins" w:hAnsi="Poppins" w:eastAsia="Times New Roman" w:cs="Poppins"/>
          <w:sz w:val="20"/>
          <w:szCs w:val="20"/>
        </w:rPr>
        <w:t>aboratory or clinical evidence of acute infection with Epstein-Barr virus (EBV) or cytomegalovirus (CMV)</w:t>
      </w:r>
      <w:r w:rsidRPr="00931E2C">
        <w:rPr>
          <w:rFonts w:ascii="Poppins" w:hAnsi="Poppins" w:cs="Poppins"/>
          <w:spacing w:val="-2"/>
          <w:sz w:val="20"/>
          <w:szCs w:val="20"/>
        </w:rPr>
        <w:t xml:space="preserve"> </w:t>
      </w:r>
      <w:r w:rsidRPr="00931E2C">
        <w:rPr>
          <w:rFonts w:ascii="Poppins" w:hAnsi="Poppins" w:cs="Poppins"/>
          <w:spacing w:val="-2"/>
          <w:sz w:val="20"/>
          <w:szCs w:val="20"/>
        </w:rPr>
        <w:fldChar w:fldCharType="begin">
          <w:fldData xml:space="preserve">PEVuZE5vdGU+PENpdGU+PFJlY051bT4yOTMwMzwvUmVjTnVtPjxEaXNwbGF5VGV4dD48c3R5bGUg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</w:fldData>
        </w:fldChar>
      </w:r>
      <w:r>
        <w:rPr>
          <w:rFonts w:ascii="Poppins" w:hAnsi="Poppins" w:cs="Poppins"/>
          <w:spacing w:val="-2"/>
          <w:sz w:val="20"/>
          <w:szCs w:val="20"/>
        </w:rPr>
        <w:instrText xml:space="preserve"> ADDIN EN.CITE </w:instrText>
      </w:r>
      <w:r>
        <w:rPr>
          <w:rFonts w:ascii="Poppins" w:hAnsi="Poppins" w:cs="Poppins"/>
          <w:spacing w:val="-2"/>
          <w:sz w:val="20"/>
          <w:szCs w:val="20"/>
        </w:rPr>
        <w:fldChar w:fldCharType="begin">
          <w:fldData xml:space="preserve">PEVuZE5vdGU+PENpdGU+PFJlY051bT4yOTMwMzwvUmVjTnVtPjxEaXNwbGF5VGV4dD48c3R5bGUg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</w:fldData>
        </w:fldChar>
      </w:r>
      <w:r>
        <w:rPr>
          <w:rFonts w:ascii="Poppins" w:hAnsi="Poppins" w:cs="Poppins"/>
          <w:spacing w:val="-2"/>
          <w:sz w:val="20"/>
          <w:szCs w:val="20"/>
        </w:rPr>
        <w:instrText xml:space="preserve"> ADDIN EN.CITE.DATA </w:instrText>
      </w:r>
      <w:r>
        <w:rPr>
          <w:rFonts w:ascii="Poppins" w:hAnsi="Poppins" w:cs="Poppins"/>
          <w:spacing w:val="-2"/>
          <w:sz w:val="20"/>
          <w:szCs w:val="20"/>
        </w:rPr>
      </w:r>
      <w:r>
        <w:rPr>
          <w:rFonts w:ascii="Poppins" w:hAnsi="Poppins" w:cs="Poppins"/>
          <w:spacing w:val="-2"/>
          <w:sz w:val="20"/>
          <w:szCs w:val="20"/>
        </w:rPr>
        <w:fldChar w:fldCharType="end"/>
      </w:r>
      <w:r w:rsidRPr="00931E2C">
        <w:rPr>
          <w:rFonts w:ascii="Poppins" w:hAnsi="Poppins" w:cs="Poppins"/>
          <w:spacing w:val="-2"/>
          <w:sz w:val="20"/>
          <w:szCs w:val="20"/>
        </w:rPr>
      </w:r>
      <w:r w:rsidRPr="00931E2C">
        <w:rPr>
          <w:rFonts w:ascii="Poppins" w:hAnsi="Poppins" w:cs="Poppins"/>
          <w:spacing w:val="-2"/>
          <w:sz w:val="20"/>
          <w:szCs w:val="20"/>
        </w:rPr>
        <w:fldChar w:fldCharType="separate"/>
      </w:r>
      <w:r w:rsidRPr="00931E2C">
        <w:rPr>
          <w:rFonts w:ascii="Poppins" w:hAnsi="Poppins" w:cs="Poppins"/>
          <w:noProof/>
          <w:spacing w:val="-2"/>
          <w:sz w:val="20"/>
          <w:szCs w:val="20"/>
          <w:vertAlign w:val="superscript"/>
        </w:rPr>
        <w:t>(TZIELD® SmPC)</w:t>
      </w:r>
      <w:r w:rsidRPr="00931E2C">
        <w:rPr>
          <w:rFonts w:ascii="Poppins" w:hAnsi="Poppins" w:cs="Poppins"/>
          <w:spacing w:val="-2"/>
          <w:sz w:val="20"/>
          <w:szCs w:val="20"/>
        </w:rPr>
        <w:fldChar w:fldCharType="end"/>
      </w:r>
    </w:p>
    <w:p w:rsidRPr="00C43185" w:rsidR="0024361A" w:rsidP="001B36EE" w:rsidRDefault="0024361A" w14:paraId="72A5EE46" w14:textId="77777777">
      <w:pPr>
        <w:spacing w:line="240" w:lineRule="auto"/>
        <w:ind w:left="720"/>
        <w:rPr>
          <w:rFonts w:ascii="Poppins" w:hAnsi="Poppins" w:eastAsia="Times New Roman" w:cs="Poppins"/>
        </w:rPr>
      </w:pPr>
    </w:p>
    <w:p w:rsidRPr="00C43185" w:rsidR="00D11771" w:rsidP="001B36EE" w:rsidRDefault="00D11771" w14:paraId="45956CF3" w14:textId="77777777">
      <w:pPr>
        <w:spacing w:line="240" w:lineRule="auto"/>
        <w:rPr>
          <w:rFonts w:ascii="Poppins" w:hAnsi="Poppins" w:cs="Poppins" w:eastAsiaTheme="majorEastAsia"/>
          <w:b/>
          <w:bCs/>
          <w:color w:val="4F81BD" w:themeColor="accent1"/>
          <w:sz w:val="26"/>
          <w:szCs w:val="26"/>
        </w:rPr>
      </w:pPr>
    </w:p>
    <w:p w:rsidR="00931E2C" w:rsidP="001B36EE" w:rsidRDefault="00931E2C" w14:paraId="75D7EB4F" w14:textId="5BCEAE23">
      <w:pPr>
        <w:spacing w:line="240" w:lineRule="auto"/>
        <w:rPr>
          <w:rFonts w:ascii="Poppins" w:hAnsi="Poppins" w:cs="Poppins" w:eastAsiaTheme="majorEastAsia"/>
          <w:b/>
          <w:bCs/>
          <w:color w:val="365F91" w:themeColor="accent1" w:themeShade="BF"/>
          <w:sz w:val="28"/>
          <w:szCs w:val="28"/>
        </w:rPr>
      </w:pPr>
    </w:p>
    <w:p w:rsidRPr="00931E2C" w:rsidR="00C755F8" w:rsidP="001B36EE" w:rsidRDefault="00CD246D" w14:paraId="6A40DE82" w14:textId="6204922B">
      <w:pPr>
        <w:pStyle w:val="Heading1"/>
        <w:spacing w:after="120" w:line="240" w:lineRule="auto"/>
        <w:rPr>
          <w:rFonts w:ascii="Poppins" w:hAnsi="Poppins" w:cs="Poppins"/>
          <w:color w:val="0023C8"/>
        </w:rPr>
      </w:pPr>
      <w:bookmarkStart w:name="_Toc229391554" w:id="40"/>
      <w:r w:rsidRPr="00931E2C">
        <w:rPr>
          <w:rFonts w:ascii="Poppins" w:hAnsi="Poppins" w:cs="Poppins"/>
          <w:color w:val="0023C8"/>
        </w:rPr>
        <w:t xml:space="preserve">Appendix 4. </w:t>
      </w:r>
      <w:r w:rsidRPr="00931E2C" w:rsidR="007E421A">
        <w:rPr>
          <w:rFonts w:ascii="Poppins" w:hAnsi="Poppins" w:cs="Poppins"/>
          <w:color w:val="0023C8"/>
        </w:rPr>
        <w:t>Preparation, storage and stability of teplizumab</w:t>
      </w:r>
      <w:bookmarkEnd w:id="40"/>
      <w:r w:rsidRPr="00931E2C" w:rsidR="00C755F8">
        <w:rPr>
          <w:rFonts w:ascii="Poppins" w:hAnsi="Poppins" w:cs="Poppins"/>
          <w:color w:val="0023C8"/>
        </w:rPr>
        <w:t xml:space="preserve"> </w:t>
      </w:r>
    </w:p>
    <w:p w:rsidRPr="00450D0C" w:rsidR="007E421A" w:rsidP="001B36EE" w:rsidRDefault="007E421A" w14:paraId="0A26972B" w14:textId="02986A4B">
      <w:pPr>
        <w:spacing w:after="120" w:line="240" w:lineRule="auto"/>
        <w:rPr>
          <w:rFonts w:ascii="Poppins" w:hAnsi="Poppins" w:cs="Poppins"/>
          <w:u w:val="single"/>
        </w:rPr>
      </w:pPr>
      <w:r w:rsidRPr="00C43185">
        <w:rPr>
          <w:rFonts w:ascii="Poppins" w:hAnsi="Poppins" w:cs="Poppins"/>
          <w:u w:val="single"/>
        </w:rPr>
        <w:t>Preparation for intravenous infusion</w:t>
      </w:r>
      <w:r w:rsidRPr="00450D0C" w:rsidR="00450D0C">
        <w:rPr>
          <w:rFonts w:ascii="Poppins" w:hAnsi="Poppins" w:cs="Poppins"/>
        </w:rPr>
        <w:fldChar w:fldCharType="begin"/>
      </w:r>
      <w:r w:rsidRPr="00450D0C" w:rsidR="00450D0C">
        <w:rPr>
          <w:rFonts w:ascii="Poppins" w:hAnsi="Poppins" w:cs="Poppins"/>
        </w:rPr>
        <w:instrText xml:space="preserve"> ADDIN EN.CITE &lt;EndNote&gt;&lt;Cite&gt;&lt;RecNum&gt;29303&lt;/RecNum&gt;&lt;DisplayText&gt;&lt;style face="superscript"&gt;(TZIELD® SmPC)&lt;/style&gt;&lt;/DisplayText&gt;&lt;record&gt;&lt;rec-number&gt;29303&lt;/rec-number&gt;&lt;foreign-keys&gt;&lt;key app="EN" db-id="f5f5va0252p5fee95pj55es3tdereta29dxz" timestamp="1745912443" guid="7580b09c-b7d0-4acf-ae78-51d087de0c97"&gt;29303&lt;/key&gt;&lt;/foreign-keys&gt;&lt;ref-type name="Unpublished Work"&gt;34&lt;/ref-type&gt;&lt;contributors&gt;&lt;/contributors&gt;&lt;titles&gt;&lt;title&gt;TZIELD® (teplizumab) UK Summary of Product Characteristics. 2025&lt;/title&gt;&lt;/titles&gt;&lt;dates&gt;&lt;/dates&gt;&lt;urls&gt;&lt;/urls&gt;&lt;/record&gt;&lt;/Cite&gt;&lt;Cite&gt;&lt;Author&gt;TZIELD® SmPC&lt;/Author&gt;&lt;RecNum&gt;29432&lt;/RecNum&gt;&lt;record&gt;&lt;rec-number&gt;29432&lt;/rec-number&gt;&lt;foreign-keys&gt;&lt;key app="EN" db-id="f5f5va0252p5fee95pj55es3tdereta29dxz" timestamp="1748330179" guid="7432b406-e3fe-4548-b6a6-5dd3371ce566"&gt;29432&lt;/key&gt;&lt;/foreign-keys&gt;&lt;ref-type name="Unpublished Work"&gt;34&lt;/ref-type&gt;&lt;contributors&gt;&lt;authors&gt;&lt;author&gt;&lt;style face="normal" font="default" size="100%"&gt;TZIELD&lt;/style&gt;&lt;style face="superscript" font="default" size="100%"&gt;® &lt;/style&gt;&lt;style face="normal" font="default" size="100%"&gt;SmPC,&lt;/style&gt;&lt;/author&gt;&lt;/authors&gt;&lt;/contributors&gt;&lt;titles&gt;&lt;title&gt;UK Summary of Product Characteristics&lt;/title&gt;&lt;/titles&gt;&lt;dates&gt;&lt;/dates&gt;&lt;urls&gt;&lt;/urls&gt;&lt;/record&gt;&lt;/Cite&gt;&lt;/EndNote&gt;</w:instrText>
      </w:r>
      <w:r w:rsidRPr="00450D0C" w:rsidR="00450D0C">
        <w:rPr>
          <w:rFonts w:ascii="Poppins" w:hAnsi="Poppins" w:cs="Poppins"/>
        </w:rPr>
        <w:fldChar w:fldCharType="separate"/>
      </w:r>
      <w:r w:rsidRPr="00450D0C" w:rsidR="00450D0C">
        <w:rPr>
          <w:rFonts w:ascii="Poppins" w:hAnsi="Poppins" w:cs="Poppins"/>
          <w:noProof/>
          <w:vertAlign w:val="superscript"/>
        </w:rPr>
        <w:t>(TZIELD® SmPC)</w:t>
      </w:r>
      <w:r w:rsidRPr="00450D0C" w:rsidR="00450D0C">
        <w:rPr>
          <w:rFonts w:ascii="Poppins" w:hAnsi="Poppins" w:cs="Poppins"/>
        </w:rPr>
        <w:fldChar w:fldCharType="end"/>
      </w:r>
    </w:p>
    <w:p w:rsidRPr="000C3820" w:rsidR="007E421A" w:rsidP="001B36EE" w:rsidRDefault="007E421A" w14:paraId="0581FDDA" w14:textId="29FFA150">
      <w:pPr>
        <w:spacing w:after="60" w:line="240" w:lineRule="auto"/>
        <w:rPr>
          <w:rFonts w:ascii="Poppins" w:hAnsi="Poppins" w:cs="Poppins"/>
          <w:sz w:val="20"/>
          <w:szCs w:val="20"/>
        </w:rPr>
      </w:pPr>
      <w:r w:rsidRPr="000C3820">
        <w:rPr>
          <w:rFonts w:ascii="Poppins" w:hAnsi="Poppins" w:cs="Poppins"/>
          <w:sz w:val="20"/>
          <w:szCs w:val="20"/>
        </w:rPr>
        <w:t>Teplizumab must be diluted prior to use</w:t>
      </w:r>
      <w:r w:rsidRPr="000C3820" w:rsidR="00E9009D">
        <w:rPr>
          <w:rFonts w:ascii="Poppins" w:hAnsi="Poppins" w:cs="Poppins"/>
          <w:sz w:val="20"/>
          <w:szCs w:val="20"/>
        </w:rPr>
        <w:t xml:space="preserve"> as below:</w:t>
      </w:r>
    </w:p>
    <w:p w:rsidRPr="000C3820" w:rsidR="007E421A" w:rsidP="001B36EE" w:rsidRDefault="007E421A" w14:paraId="66F454A2" w14:textId="68BF8C10">
      <w:pPr>
        <w:pStyle w:val="ListParagraph"/>
        <w:numPr>
          <w:ilvl w:val="1"/>
          <w:numId w:val="41"/>
        </w:numPr>
        <w:spacing w:after="0" w:line="240" w:lineRule="auto"/>
        <w:ind w:left="360"/>
        <w:contextualSpacing w:val="0"/>
        <w:rPr>
          <w:rFonts w:ascii="Poppins" w:hAnsi="Poppins" w:cs="Poppins"/>
          <w:sz w:val="20"/>
          <w:szCs w:val="20"/>
        </w:rPr>
      </w:pPr>
      <w:r w:rsidRPr="000C3820">
        <w:rPr>
          <w:rFonts w:ascii="Poppins" w:hAnsi="Poppins" w:cs="Poppins"/>
          <w:sz w:val="20"/>
          <w:szCs w:val="20"/>
        </w:rPr>
        <w:t xml:space="preserve">In preparation for dilution, inspect </w:t>
      </w:r>
      <w:bookmarkStart w:name="_Hlk219372389" w:id="41"/>
      <w:r w:rsidRPr="000C3820" w:rsidR="00E9009D">
        <w:rPr>
          <w:rFonts w:ascii="Poppins" w:hAnsi="Poppins" w:cs="Poppins"/>
          <w:sz w:val="20"/>
          <w:szCs w:val="20"/>
        </w:rPr>
        <w:t>teplizumab</w:t>
      </w:r>
      <w:r w:rsidRPr="000C3820">
        <w:rPr>
          <w:rFonts w:ascii="Poppins" w:hAnsi="Poppins" w:cs="Poppins"/>
          <w:sz w:val="20"/>
          <w:szCs w:val="20"/>
        </w:rPr>
        <w:t xml:space="preserve"> </w:t>
      </w:r>
      <w:bookmarkEnd w:id="41"/>
      <w:r w:rsidRPr="000C3820">
        <w:rPr>
          <w:rFonts w:ascii="Poppins" w:hAnsi="Poppins" w:cs="Poppins"/>
          <w:sz w:val="20"/>
          <w:szCs w:val="20"/>
        </w:rPr>
        <w:t>visually before use (the supplied solution is clear and colourless). Do not use</w:t>
      </w:r>
      <w:r w:rsidRPr="000C3820" w:rsidR="00E9009D">
        <w:rPr>
          <w:rFonts w:ascii="Poppins" w:hAnsi="Poppins" w:cs="Poppins"/>
          <w:sz w:val="20"/>
          <w:szCs w:val="20"/>
        </w:rPr>
        <w:t xml:space="preserve"> </w:t>
      </w:r>
      <w:r w:rsidRPr="000C3820">
        <w:rPr>
          <w:rFonts w:ascii="Poppins" w:hAnsi="Poppins" w:cs="Poppins"/>
          <w:sz w:val="20"/>
          <w:szCs w:val="20"/>
        </w:rPr>
        <w:t>if particulate matter or colouration is seen</w:t>
      </w:r>
    </w:p>
    <w:p w:rsidRPr="00F57F62" w:rsidR="007E421A" w:rsidP="001B36EE" w:rsidRDefault="007E421A" w14:paraId="465FACC8" w14:textId="176D320F">
      <w:pPr>
        <w:pStyle w:val="ListParagraph"/>
        <w:numPr>
          <w:ilvl w:val="1"/>
          <w:numId w:val="41"/>
        </w:numPr>
        <w:spacing w:after="0" w:line="240" w:lineRule="auto"/>
        <w:ind w:left="360"/>
        <w:contextualSpacing w:val="0"/>
        <w:rPr>
          <w:rFonts w:ascii="Poppins" w:hAnsi="Poppins" w:cs="Poppins"/>
          <w:spacing w:val="-4"/>
          <w:sz w:val="20"/>
          <w:szCs w:val="20"/>
        </w:rPr>
      </w:pPr>
      <w:r w:rsidRPr="00F57F62">
        <w:rPr>
          <w:rFonts w:ascii="Poppins" w:hAnsi="Poppins" w:cs="Poppins"/>
          <w:spacing w:val="-4"/>
          <w:sz w:val="20"/>
          <w:szCs w:val="20"/>
        </w:rPr>
        <w:t xml:space="preserve">Prepare </w:t>
      </w:r>
      <w:r w:rsidRPr="00F57F62" w:rsidR="00E9009D">
        <w:rPr>
          <w:rFonts w:ascii="Poppins" w:hAnsi="Poppins" w:cs="Poppins"/>
          <w:spacing w:val="-4"/>
          <w:sz w:val="20"/>
          <w:szCs w:val="20"/>
        </w:rPr>
        <w:t>teplizumab</w:t>
      </w:r>
      <w:r w:rsidRPr="00F57F62">
        <w:rPr>
          <w:rFonts w:ascii="Poppins" w:hAnsi="Poppins" w:cs="Poppins"/>
          <w:spacing w:val="-4"/>
          <w:sz w:val="20"/>
          <w:szCs w:val="20"/>
        </w:rPr>
        <w:t xml:space="preserve"> using aseptic technique. Each vial is intended for single dose only</w:t>
      </w:r>
    </w:p>
    <w:p w:rsidRPr="000C3820" w:rsidR="007E421A" w:rsidP="001B36EE" w:rsidRDefault="007E421A" w14:paraId="5F745E01" w14:textId="2F11A28D">
      <w:pPr>
        <w:pStyle w:val="ListParagraph"/>
        <w:numPr>
          <w:ilvl w:val="1"/>
          <w:numId w:val="41"/>
        </w:numPr>
        <w:spacing w:after="0" w:line="240" w:lineRule="auto"/>
        <w:ind w:left="360"/>
        <w:contextualSpacing w:val="0"/>
        <w:rPr>
          <w:rFonts w:ascii="Poppins" w:hAnsi="Poppins" w:cs="Poppins"/>
          <w:sz w:val="20"/>
          <w:szCs w:val="20"/>
        </w:rPr>
      </w:pPr>
      <w:r w:rsidRPr="000C3820">
        <w:rPr>
          <w:rFonts w:ascii="Poppins" w:hAnsi="Poppins" w:cs="Poppins"/>
          <w:sz w:val="20"/>
          <w:szCs w:val="20"/>
        </w:rPr>
        <w:t>Prepare a:</w:t>
      </w:r>
    </w:p>
    <w:p w:rsidRPr="000C3820" w:rsidR="007E421A" w:rsidP="001B36EE" w:rsidRDefault="007E421A" w14:paraId="0E47350B" w14:textId="6D9ABB44">
      <w:pPr>
        <w:pStyle w:val="ListParagraph"/>
        <w:numPr>
          <w:ilvl w:val="0"/>
          <w:numId w:val="42"/>
        </w:numPr>
        <w:spacing w:after="0" w:line="240" w:lineRule="auto"/>
        <w:ind w:left="723"/>
        <w:contextualSpacing w:val="0"/>
        <w:rPr>
          <w:rFonts w:ascii="Poppins" w:hAnsi="Poppins" w:cs="Poppins"/>
          <w:sz w:val="20"/>
          <w:szCs w:val="20"/>
        </w:rPr>
      </w:pPr>
      <w:r w:rsidRPr="000C3820">
        <w:rPr>
          <w:rFonts w:ascii="Poppins" w:hAnsi="Poppins" w:cs="Poppins"/>
          <w:sz w:val="20"/>
          <w:szCs w:val="20"/>
        </w:rPr>
        <w:t>Sterile glass vial with 18 mL of 0.9% sodium chloride solution for injection or</w:t>
      </w:r>
    </w:p>
    <w:p w:rsidRPr="000C3820" w:rsidR="007E421A" w:rsidP="001B36EE" w:rsidRDefault="007E421A" w14:paraId="5CCA90F4" w14:textId="7AB0528B">
      <w:pPr>
        <w:pStyle w:val="ListParagraph"/>
        <w:numPr>
          <w:ilvl w:val="0"/>
          <w:numId w:val="42"/>
        </w:numPr>
        <w:spacing w:after="0" w:line="240" w:lineRule="auto"/>
        <w:ind w:left="723"/>
        <w:contextualSpacing w:val="0"/>
        <w:rPr>
          <w:rFonts w:ascii="Poppins" w:hAnsi="Poppins" w:cs="Poppins"/>
          <w:sz w:val="20"/>
          <w:szCs w:val="20"/>
        </w:rPr>
      </w:pPr>
      <w:r w:rsidRPr="000C3820">
        <w:rPr>
          <w:rFonts w:ascii="Poppins" w:hAnsi="Poppins" w:cs="Poppins"/>
          <w:sz w:val="20"/>
          <w:szCs w:val="20"/>
        </w:rPr>
        <w:t>Polyvinylchloride (PVC) infusion bag with 18 mL of 0.9% sodium chloride solution for injection</w:t>
      </w:r>
    </w:p>
    <w:p w:rsidRPr="000C3820" w:rsidR="007E421A" w:rsidP="001B36EE" w:rsidRDefault="007E421A" w14:paraId="6227D60D" w14:textId="532620AC">
      <w:pPr>
        <w:pStyle w:val="ListParagraph"/>
        <w:numPr>
          <w:ilvl w:val="1"/>
          <w:numId w:val="43"/>
        </w:numPr>
        <w:spacing w:after="0" w:line="240" w:lineRule="auto"/>
        <w:ind w:left="360"/>
        <w:contextualSpacing w:val="0"/>
        <w:rPr>
          <w:rFonts w:ascii="Poppins" w:hAnsi="Poppins" w:cs="Poppins"/>
          <w:sz w:val="20"/>
          <w:szCs w:val="20"/>
        </w:rPr>
      </w:pPr>
      <w:r w:rsidRPr="000C3820">
        <w:rPr>
          <w:rFonts w:ascii="Poppins" w:hAnsi="Poppins" w:cs="Poppins"/>
          <w:sz w:val="20"/>
          <w:szCs w:val="20"/>
        </w:rPr>
        <w:t xml:space="preserve">Remove 2 mL of </w:t>
      </w:r>
      <w:r w:rsidRPr="000C3820" w:rsidR="00E9009D">
        <w:rPr>
          <w:rFonts w:ascii="Poppins" w:hAnsi="Poppins" w:cs="Poppins"/>
          <w:sz w:val="20"/>
          <w:szCs w:val="20"/>
        </w:rPr>
        <w:t>teplizumab</w:t>
      </w:r>
      <w:r w:rsidRPr="000C3820">
        <w:rPr>
          <w:rFonts w:ascii="Poppins" w:hAnsi="Poppins" w:cs="Poppins"/>
          <w:sz w:val="20"/>
          <w:szCs w:val="20"/>
        </w:rPr>
        <w:t xml:space="preserve"> from the vial and slowly add to the 18 mL of 0.9% sodium chloride solution for injection. Mix</w:t>
      </w:r>
      <w:r w:rsidRPr="000C3820" w:rsidR="00E9009D">
        <w:rPr>
          <w:rFonts w:ascii="Poppins" w:hAnsi="Poppins" w:cs="Poppins"/>
          <w:sz w:val="20"/>
          <w:szCs w:val="20"/>
        </w:rPr>
        <w:t xml:space="preserve"> </w:t>
      </w:r>
      <w:r w:rsidRPr="000C3820">
        <w:rPr>
          <w:rFonts w:ascii="Poppins" w:hAnsi="Poppins" w:cs="Poppins"/>
          <w:sz w:val="20"/>
          <w:szCs w:val="20"/>
        </w:rPr>
        <w:t>gently by slowly inverting the vial or rocking the infusion bag. The resulting 20 mL diluted solution contains 100 mcg/mL</w:t>
      </w:r>
      <w:r w:rsidRPr="000C3820" w:rsidR="00E9009D">
        <w:rPr>
          <w:rFonts w:ascii="Poppins" w:hAnsi="Poppins" w:cs="Poppins"/>
          <w:sz w:val="20"/>
          <w:szCs w:val="20"/>
        </w:rPr>
        <w:t xml:space="preserve"> </w:t>
      </w:r>
      <w:r w:rsidRPr="000C3820">
        <w:rPr>
          <w:rFonts w:ascii="Poppins" w:hAnsi="Poppins" w:cs="Poppins"/>
          <w:sz w:val="20"/>
          <w:szCs w:val="20"/>
        </w:rPr>
        <w:t>of teplizumab</w:t>
      </w:r>
    </w:p>
    <w:p w:rsidRPr="000C3820" w:rsidR="007E421A" w:rsidP="001B36EE" w:rsidRDefault="007E421A" w14:paraId="0F6CC116" w14:textId="78C03B4D">
      <w:pPr>
        <w:pStyle w:val="ListParagraph"/>
        <w:numPr>
          <w:ilvl w:val="1"/>
          <w:numId w:val="43"/>
        </w:numPr>
        <w:spacing w:after="0" w:line="240" w:lineRule="auto"/>
        <w:ind w:left="360"/>
        <w:contextualSpacing w:val="0"/>
        <w:rPr>
          <w:rFonts w:ascii="Poppins" w:hAnsi="Poppins" w:cs="Poppins"/>
          <w:sz w:val="20"/>
          <w:szCs w:val="20"/>
        </w:rPr>
      </w:pPr>
      <w:r w:rsidRPr="000C3820">
        <w:rPr>
          <w:rFonts w:ascii="Poppins" w:hAnsi="Poppins" w:cs="Poppins"/>
          <w:sz w:val="20"/>
          <w:szCs w:val="20"/>
        </w:rPr>
        <w:t xml:space="preserve">Using an appropriately sized syringe (e.g., 5 mL), withdraw the volume of diluted </w:t>
      </w:r>
      <w:r w:rsidRPr="000C3820" w:rsidR="00E9009D">
        <w:rPr>
          <w:rFonts w:ascii="Poppins" w:hAnsi="Poppins" w:cs="Poppins"/>
          <w:sz w:val="20"/>
          <w:szCs w:val="20"/>
        </w:rPr>
        <w:t>teplizumab</w:t>
      </w:r>
      <w:r w:rsidRPr="000C3820">
        <w:rPr>
          <w:rFonts w:ascii="Poppins" w:hAnsi="Poppins" w:cs="Poppins"/>
          <w:sz w:val="20"/>
          <w:szCs w:val="20"/>
        </w:rPr>
        <w:t xml:space="preserve"> solution required for that day's</w:t>
      </w:r>
      <w:r w:rsidRPr="000C3820" w:rsidR="00E9009D">
        <w:rPr>
          <w:rFonts w:ascii="Poppins" w:hAnsi="Poppins" w:cs="Poppins"/>
          <w:sz w:val="20"/>
          <w:szCs w:val="20"/>
        </w:rPr>
        <w:t xml:space="preserve"> </w:t>
      </w:r>
      <w:r w:rsidRPr="000C3820">
        <w:rPr>
          <w:rFonts w:ascii="Poppins" w:hAnsi="Poppins" w:cs="Poppins"/>
          <w:sz w:val="20"/>
          <w:szCs w:val="20"/>
        </w:rPr>
        <w:t>calculated dose from the 100 mcg/mL solution</w:t>
      </w:r>
    </w:p>
    <w:p w:rsidRPr="000C3820" w:rsidR="007E421A" w:rsidP="001B36EE" w:rsidRDefault="007E421A" w14:paraId="024C939E" w14:textId="01AFEA7E">
      <w:pPr>
        <w:pStyle w:val="ListParagraph"/>
        <w:numPr>
          <w:ilvl w:val="1"/>
          <w:numId w:val="43"/>
        </w:numPr>
        <w:spacing w:after="60" w:line="240" w:lineRule="auto"/>
        <w:ind w:left="360"/>
        <w:contextualSpacing w:val="0"/>
        <w:rPr>
          <w:rFonts w:ascii="Poppins" w:hAnsi="Poppins" w:cs="Poppins"/>
          <w:sz w:val="20"/>
          <w:szCs w:val="20"/>
        </w:rPr>
      </w:pPr>
      <w:r w:rsidRPr="000C3820">
        <w:rPr>
          <w:rFonts w:ascii="Poppins" w:hAnsi="Poppins" w:cs="Poppins"/>
          <w:sz w:val="20"/>
          <w:szCs w:val="20"/>
        </w:rPr>
        <w:t xml:space="preserve">Slowly add contents of the syringe containing the </w:t>
      </w:r>
      <w:r w:rsidRPr="000C3820" w:rsidR="00E9009D">
        <w:rPr>
          <w:rFonts w:ascii="Poppins" w:hAnsi="Poppins" w:cs="Poppins"/>
          <w:sz w:val="20"/>
          <w:szCs w:val="20"/>
        </w:rPr>
        <w:t>teplizumab</w:t>
      </w:r>
      <w:r w:rsidRPr="000C3820">
        <w:rPr>
          <w:rFonts w:ascii="Poppins" w:hAnsi="Poppins" w:cs="Poppins"/>
          <w:sz w:val="20"/>
          <w:szCs w:val="20"/>
        </w:rPr>
        <w:t xml:space="preserve"> dose to a PVC infusion bag containing 25 mL 0.9% sodium</w:t>
      </w:r>
      <w:r w:rsidRPr="000C3820" w:rsidR="00E9009D">
        <w:rPr>
          <w:rFonts w:ascii="Poppins" w:hAnsi="Poppins" w:cs="Poppins"/>
          <w:sz w:val="20"/>
          <w:szCs w:val="20"/>
        </w:rPr>
        <w:t xml:space="preserve"> </w:t>
      </w:r>
      <w:r w:rsidRPr="000C3820">
        <w:rPr>
          <w:rFonts w:ascii="Poppins" w:hAnsi="Poppins" w:cs="Poppins"/>
          <w:sz w:val="20"/>
          <w:szCs w:val="20"/>
        </w:rPr>
        <w:t>chloride solution for injection. Gently rock the infusion bag to ensure that the solution mixes sufficiently. Do not shake</w:t>
      </w:r>
    </w:p>
    <w:p w:rsidRPr="00913708" w:rsidR="007E421A" w:rsidP="001B36EE" w:rsidRDefault="007E421A" w14:paraId="4EC7C0AE" w14:textId="77777777">
      <w:pPr>
        <w:spacing w:line="240" w:lineRule="auto"/>
        <w:rPr>
          <w:rFonts w:ascii="Poppins" w:hAnsi="Poppins" w:cs="Poppins"/>
          <w:b/>
          <w:bCs/>
          <w:i/>
          <w:iCs/>
          <w:color w:val="0096FF"/>
          <w:sz w:val="24"/>
          <w:szCs w:val="24"/>
        </w:rPr>
      </w:pPr>
      <w:r w:rsidRPr="00913708">
        <w:rPr>
          <w:rFonts w:ascii="Poppins" w:hAnsi="Poppins" w:cs="Poppins"/>
          <w:b/>
          <w:bCs/>
          <w:i/>
          <w:iCs/>
          <w:color w:val="0096FF"/>
          <w:sz w:val="24"/>
          <w:szCs w:val="24"/>
        </w:rPr>
        <w:t>Important:</w:t>
      </w:r>
    </w:p>
    <w:p w:rsidRPr="000C3820" w:rsidR="007E421A" w:rsidP="001B36EE" w:rsidRDefault="007E421A" w14:paraId="6037BA76" w14:textId="7BA24918">
      <w:pPr>
        <w:spacing w:after="0" w:line="240" w:lineRule="auto"/>
        <w:rPr>
          <w:rFonts w:ascii="Poppins" w:hAnsi="Poppins" w:cs="Poppins"/>
          <w:sz w:val="20"/>
          <w:szCs w:val="20"/>
        </w:rPr>
      </w:pPr>
      <w:r w:rsidRPr="000C3820">
        <w:rPr>
          <w:rFonts w:ascii="Poppins" w:hAnsi="Poppins" w:cs="Poppins"/>
          <w:sz w:val="20"/>
          <w:szCs w:val="20"/>
        </w:rPr>
        <w:t>Based on BSA dosing requirements (e.g., &gt;1.94 m</w:t>
      </w:r>
      <w:r w:rsidRPr="00B16CC5">
        <w:rPr>
          <w:rFonts w:ascii="Poppins" w:hAnsi="Poppins" w:cs="Poppins"/>
          <w:sz w:val="20"/>
          <w:szCs w:val="20"/>
          <w:vertAlign w:val="superscript"/>
        </w:rPr>
        <w:t>2</w:t>
      </w:r>
      <w:r w:rsidRPr="000C3820">
        <w:rPr>
          <w:rFonts w:ascii="Poppins" w:hAnsi="Poppins" w:cs="Poppins"/>
          <w:sz w:val="20"/>
          <w:szCs w:val="20"/>
        </w:rPr>
        <w:t>), 2 vials may be needed for days 5 through 14. To make sure the</w:t>
      </w:r>
      <w:r w:rsidRPr="000C3820" w:rsidR="00E9009D">
        <w:rPr>
          <w:rFonts w:ascii="Poppins" w:hAnsi="Poppins" w:cs="Poppins"/>
          <w:sz w:val="20"/>
          <w:szCs w:val="20"/>
        </w:rPr>
        <w:t xml:space="preserve"> </w:t>
      </w:r>
      <w:r w:rsidRPr="000C3820">
        <w:rPr>
          <w:rFonts w:ascii="Poppins" w:hAnsi="Poppins" w:cs="Poppins"/>
          <w:sz w:val="20"/>
          <w:szCs w:val="20"/>
        </w:rPr>
        <w:t>complete dose for each day is contained in 1 infusion bag:</w:t>
      </w:r>
    </w:p>
    <w:p w:rsidRPr="000C3820" w:rsidR="007E421A" w:rsidP="001B36EE" w:rsidRDefault="007E421A" w14:paraId="54F93D3F" w14:textId="1FEC1027">
      <w:pPr>
        <w:pStyle w:val="ListParagraph"/>
        <w:numPr>
          <w:ilvl w:val="0"/>
          <w:numId w:val="44"/>
        </w:numPr>
        <w:spacing w:after="0" w:line="240" w:lineRule="auto"/>
        <w:ind w:left="357" w:hanging="357"/>
        <w:contextualSpacing w:val="0"/>
        <w:rPr>
          <w:rFonts w:ascii="Poppins" w:hAnsi="Poppins" w:cs="Poppins"/>
          <w:sz w:val="20"/>
          <w:szCs w:val="20"/>
        </w:rPr>
      </w:pPr>
      <w:r w:rsidRPr="000C3820">
        <w:rPr>
          <w:rFonts w:ascii="Poppins" w:hAnsi="Poppins" w:cs="Poppins"/>
          <w:sz w:val="20"/>
          <w:szCs w:val="20"/>
        </w:rPr>
        <w:t>Prepare 2 dilution solutions</w:t>
      </w:r>
    </w:p>
    <w:p w:rsidRPr="000C3820" w:rsidR="007E421A" w:rsidP="001B36EE" w:rsidRDefault="007E421A" w14:paraId="78AF87CE" w14:textId="551CF507">
      <w:pPr>
        <w:pStyle w:val="ListParagraph"/>
        <w:numPr>
          <w:ilvl w:val="0"/>
          <w:numId w:val="44"/>
        </w:numPr>
        <w:spacing w:after="0" w:line="240" w:lineRule="auto"/>
        <w:ind w:left="357" w:hanging="357"/>
        <w:contextualSpacing w:val="0"/>
        <w:rPr>
          <w:rFonts w:ascii="Poppins" w:hAnsi="Poppins" w:cs="Poppins"/>
          <w:sz w:val="20"/>
          <w:szCs w:val="20"/>
        </w:rPr>
      </w:pPr>
      <w:r w:rsidRPr="000C3820">
        <w:rPr>
          <w:rFonts w:ascii="Poppins" w:hAnsi="Poppins" w:cs="Poppins"/>
          <w:sz w:val="20"/>
          <w:szCs w:val="20"/>
        </w:rPr>
        <w:t>Add the cumulative volume for the calculated dose to a single infusion bag</w:t>
      </w:r>
    </w:p>
    <w:p w:rsidRPr="000C3820" w:rsidR="007E421A" w:rsidP="001B36EE" w:rsidRDefault="007E421A" w14:paraId="00F9D596" w14:textId="54C39E71">
      <w:pPr>
        <w:pStyle w:val="ListParagraph"/>
        <w:numPr>
          <w:ilvl w:val="1"/>
          <w:numId w:val="45"/>
        </w:numPr>
        <w:spacing w:after="0" w:line="240" w:lineRule="auto"/>
        <w:ind w:left="357" w:hanging="357"/>
        <w:contextualSpacing w:val="0"/>
        <w:rPr>
          <w:rFonts w:ascii="Poppins" w:hAnsi="Poppins" w:cs="Poppins"/>
          <w:sz w:val="20"/>
          <w:szCs w:val="20"/>
        </w:rPr>
      </w:pPr>
      <w:r w:rsidRPr="000C3820">
        <w:rPr>
          <w:rFonts w:ascii="Poppins" w:hAnsi="Poppins" w:cs="Poppins"/>
          <w:sz w:val="20"/>
          <w:szCs w:val="20"/>
        </w:rPr>
        <w:t>Discard unused portion of remaining diluted</w:t>
      </w:r>
      <w:r w:rsidRPr="000C3820" w:rsidR="00E9009D">
        <w:rPr>
          <w:rFonts w:ascii="Poppins" w:hAnsi="Poppins" w:cs="Poppins"/>
          <w:sz w:val="20"/>
          <w:szCs w:val="20"/>
        </w:rPr>
        <w:t xml:space="preserve"> teplizumab</w:t>
      </w:r>
      <w:r w:rsidRPr="000C3820">
        <w:rPr>
          <w:rFonts w:ascii="Poppins" w:hAnsi="Poppins" w:cs="Poppins"/>
          <w:sz w:val="20"/>
          <w:szCs w:val="20"/>
        </w:rPr>
        <w:t xml:space="preserve"> solution in the sterile glass vial or PVC infusion bag</w:t>
      </w:r>
    </w:p>
    <w:p w:rsidRPr="000C3820" w:rsidR="00CD246D" w:rsidP="001B36EE" w:rsidRDefault="007E421A" w14:paraId="61E27869" w14:textId="6FA23782">
      <w:pPr>
        <w:pStyle w:val="ListParagraph"/>
        <w:numPr>
          <w:ilvl w:val="1"/>
          <w:numId w:val="45"/>
        </w:numPr>
        <w:spacing w:after="60" w:line="240" w:lineRule="auto"/>
        <w:ind w:left="357" w:hanging="357"/>
        <w:contextualSpacing w:val="0"/>
        <w:rPr>
          <w:rFonts w:ascii="Poppins" w:hAnsi="Poppins" w:cs="Poppins"/>
          <w:sz w:val="20"/>
          <w:szCs w:val="20"/>
        </w:rPr>
      </w:pPr>
      <w:r w:rsidRPr="000C3820">
        <w:rPr>
          <w:rFonts w:ascii="Poppins" w:hAnsi="Poppins" w:cs="Poppins"/>
          <w:sz w:val="20"/>
          <w:szCs w:val="20"/>
        </w:rPr>
        <w:t xml:space="preserve">Start the </w:t>
      </w:r>
      <w:r w:rsidRPr="000C3820" w:rsidR="00E9009D">
        <w:rPr>
          <w:rFonts w:ascii="Poppins" w:hAnsi="Poppins" w:cs="Poppins"/>
          <w:sz w:val="20"/>
          <w:szCs w:val="20"/>
        </w:rPr>
        <w:t>teplizumab</w:t>
      </w:r>
      <w:r w:rsidRPr="000C3820">
        <w:rPr>
          <w:rFonts w:ascii="Poppins" w:hAnsi="Poppins" w:cs="Poppins"/>
          <w:sz w:val="20"/>
          <w:szCs w:val="20"/>
        </w:rPr>
        <w:t xml:space="preserve"> infusion within 2 hours of preparation. If not used immediately, store the infusion solution at </w:t>
      </w:r>
      <w:r w:rsidRPr="000C3820" w:rsidR="00E9009D">
        <w:rPr>
          <w:rFonts w:ascii="Poppins" w:hAnsi="Poppins" w:cs="Poppins"/>
          <w:sz w:val="20"/>
          <w:szCs w:val="20"/>
        </w:rPr>
        <w:t>room temperature</w:t>
      </w:r>
      <w:r w:rsidRPr="000C3820">
        <w:rPr>
          <w:rFonts w:ascii="Poppins" w:hAnsi="Poppins" w:cs="Poppins"/>
          <w:sz w:val="20"/>
          <w:szCs w:val="20"/>
        </w:rPr>
        <w:t xml:space="preserve"> (15°C to 30°) and complete infusion within 4 hours of the start of preparation. Discard the infusion </w:t>
      </w:r>
      <w:r w:rsidRPr="000C3820" w:rsidR="00E9009D">
        <w:rPr>
          <w:rFonts w:ascii="Poppins" w:hAnsi="Poppins" w:cs="Poppins"/>
          <w:sz w:val="20"/>
          <w:szCs w:val="20"/>
        </w:rPr>
        <w:t>solution if</w:t>
      </w:r>
      <w:r w:rsidRPr="000C3820">
        <w:rPr>
          <w:rFonts w:ascii="Poppins" w:hAnsi="Poppins" w:cs="Poppins"/>
          <w:sz w:val="20"/>
          <w:szCs w:val="20"/>
        </w:rPr>
        <w:t xml:space="preserve"> not administered within 4 hours of preparation</w:t>
      </w:r>
    </w:p>
    <w:p w:rsidRPr="00450D0C" w:rsidR="006B4A48" w:rsidP="001B36EE" w:rsidRDefault="009262A1" w14:paraId="0A0CEB50" w14:textId="0966DD1F">
      <w:pPr>
        <w:pStyle w:val="Heading1"/>
        <w:spacing w:before="0" w:line="240" w:lineRule="auto"/>
        <w:rPr>
          <w:rFonts w:ascii="Poppins" w:hAnsi="Poppins" w:cs="Poppins"/>
          <w:color w:val="0023C8"/>
        </w:rPr>
      </w:pPr>
      <w:r>
        <w:br w:type="page"/>
      </w:r>
      <w:bookmarkStart w:name="_Toc229391555" w:id="42"/>
      <w:r w:rsidRPr="00450D0C" w:rsidR="006B4A48">
        <w:rPr>
          <w:rFonts w:ascii="Poppins" w:hAnsi="Poppins" w:cs="Poppins"/>
          <w:color w:val="0023C8"/>
        </w:rPr>
        <w:t>Appendix 5.</w:t>
      </w:r>
      <w:r w:rsidR="003B33D1">
        <w:rPr>
          <w:rFonts w:ascii="Poppins" w:hAnsi="Poppins" w:cs="Poppins"/>
          <w:color w:val="0023C8"/>
        </w:rPr>
        <w:t xml:space="preserve"> Infusion service</w:t>
      </w:r>
      <w:r w:rsidRPr="00450D0C" w:rsidR="006B4A48">
        <w:rPr>
          <w:rFonts w:ascii="Poppins" w:hAnsi="Poppins" w:cs="Poppins"/>
          <w:color w:val="0023C8"/>
        </w:rPr>
        <w:t xml:space="preserve"> cost</w:t>
      </w:r>
      <w:bookmarkEnd w:id="42"/>
      <w:r w:rsidRPr="00450D0C" w:rsidR="002F142E">
        <w:rPr>
          <w:rFonts w:ascii="Poppins" w:hAnsi="Poppins" w:cs="Poppins"/>
          <w:color w:val="0023C8"/>
        </w:rPr>
        <w:t xml:space="preserve"> </w:t>
      </w:r>
    </w:p>
    <w:p w:rsidR="00CE16AC" w:rsidP="001B36EE" w:rsidRDefault="007931C0" w14:paraId="22E7F7CF" w14:textId="63193B35">
      <w:pPr>
        <w:spacing w:before="120" w:after="120" w:line="240" w:lineRule="auto"/>
        <w:rPr>
          <w:rFonts w:ascii="Poppins" w:hAnsi="Poppins" w:cs="Poppins"/>
          <w:i/>
          <w:iCs/>
        </w:rPr>
      </w:pPr>
      <w:r>
        <w:rPr>
          <w:rFonts w:ascii="Poppins" w:hAnsi="Poppins" w:cs="Poppins"/>
          <w:i/>
          <w:iCs/>
        </w:rPr>
        <w:t>A</w:t>
      </w:r>
      <w:r w:rsidR="00FD3448">
        <w:rPr>
          <w:rFonts w:ascii="Poppins" w:hAnsi="Poppins" w:cs="Poppins"/>
          <w:i/>
          <w:iCs/>
        </w:rPr>
        <w:t>pproximate costs</w:t>
      </w:r>
      <w:r w:rsidR="00D207C3">
        <w:rPr>
          <w:rFonts w:ascii="Poppins" w:hAnsi="Poppins" w:cs="Poppins"/>
          <w:i/>
          <w:iCs/>
        </w:rPr>
        <w:t xml:space="preserve"> </w:t>
      </w:r>
      <w:r>
        <w:rPr>
          <w:rFonts w:ascii="Poppins" w:hAnsi="Poppins" w:cs="Poppins"/>
          <w:i/>
          <w:iCs/>
        </w:rPr>
        <w:t>(where</w:t>
      </w:r>
      <w:r w:rsidR="00FD3448">
        <w:rPr>
          <w:rFonts w:ascii="Poppins" w:hAnsi="Poppins" w:cs="Poppins"/>
          <w:i/>
          <w:iCs/>
        </w:rPr>
        <w:t xml:space="preserve"> provided</w:t>
      </w:r>
      <w:r>
        <w:rPr>
          <w:rFonts w:ascii="Poppins" w:hAnsi="Poppins" w:cs="Poppins"/>
          <w:i/>
          <w:iCs/>
        </w:rPr>
        <w:t xml:space="preserve">) are for guidance and </w:t>
      </w:r>
      <w:r w:rsidR="00FD3448">
        <w:rPr>
          <w:rFonts w:ascii="Poppins" w:hAnsi="Poppins" w:cs="Poppins"/>
          <w:i/>
          <w:iCs/>
        </w:rPr>
        <w:t>should be localised for inclusion in the business case submission</w:t>
      </w:r>
      <w:r w:rsidR="00CE16AC">
        <w:rPr>
          <w:rFonts w:ascii="Poppins" w:hAnsi="Poppins" w:cs="Poppins"/>
          <w:i/>
          <w:iCs/>
        </w:rPr>
        <w:t>.</w:t>
      </w:r>
      <w:r w:rsidR="00633072">
        <w:rPr>
          <w:rFonts w:ascii="Poppins" w:hAnsi="Poppins" w:cs="Poppins"/>
          <w:i/>
          <w:iCs/>
        </w:rPr>
        <w:t xml:space="preserve"> References for the service costs can be found immediately after these tables.</w:t>
      </w:r>
    </w:p>
    <w:p w:rsidRPr="00FD3448" w:rsidR="00FD3448" w:rsidP="001B36EE" w:rsidRDefault="00CE16AC" w14:paraId="1F4CE09F" w14:textId="58AAE75A">
      <w:pPr>
        <w:spacing w:before="120" w:after="120" w:line="240" w:lineRule="auto"/>
        <w:rPr>
          <w:rFonts w:ascii="Poppins" w:hAnsi="Poppins" w:cs="Poppins"/>
          <w:i/>
          <w:iCs/>
        </w:rPr>
      </w:pPr>
      <w:r>
        <w:rPr>
          <w:rFonts w:ascii="Poppins" w:hAnsi="Poppins" w:cs="Poppins"/>
          <w:i/>
          <w:iCs/>
        </w:rPr>
        <w:t>Sanofi have developed a service cost calculator which can be provided on request from your local representative</w:t>
      </w:r>
      <w:r w:rsidR="00633072">
        <w:rPr>
          <w:rFonts w:ascii="Poppins" w:hAnsi="Poppins" w:cs="Poppins"/>
          <w:i/>
          <w:iCs/>
        </w:rPr>
        <w:t>.</w:t>
      </w:r>
    </w:p>
    <w:tbl>
      <w:tblPr>
        <w:tblStyle w:val="TableGrid"/>
        <w:tblW w:w="8860" w:type="dxa"/>
        <w:tblBorders>
          <w:top w:val="none" w:color="auto" w:sz="0" w:space="0"/>
          <w:left w:val="none" w:color="auto" w:sz="0" w:space="0"/>
          <w:bottom w:val="none" w:color="auto" w:sz="0" w:space="0"/>
          <w:right w:val="none" w:color="auto" w:sz="0" w:space="0"/>
          <w:insideH w:val="single" w:color="FFFFFF" w:themeColor="background1" w:sz="8" w:space="0"/>
          <w:insideV w:val="single" w:color="FFFFFF" w:themeColor="background1" w:sz="8" w:space="0"/>
        </w:tblBorders>
        <w:tblLayout w:type="fixed"/>
        <w:tblLook w:val="04A0" w:firstRow="1" w:lastRow="0" w:firstColumn="1" w:lastColumn="0" w:noHBand="0" w:noVBand="1"/>
      </w:tblPr>
      <w:tblGrid>
        <w:gridCol w:w="2891"/>
        <w:gridCol w:w="1193"/>
        <w:gridCol w:w="1019"/>
        <w:gridCol w:w="1560"/>
        <w:gridCol w:w="1003"/>
        <w:gridCol w:w="131"/>
        <w:gridCol w:w="1063"/>
      </w:tblGrid>
      <w:tr w:rsidRPr="00D35624" w:rsidR="00F4711F" w:rsidTr="001273FD" w14:paraId="22DA5A42" w14:textId="77777777">
        <w:trPr>
          <w:trHeight w:val="1531"/>
        </w:trPr>
        <w:tc>
          <w:tcPr>
            <w:tcW w:w="2891" w:type="dxa"/>
            <w:shd w:val="clear" w:color="auto" w:fill="0096FF"/>
            <w:vAlign w:val="center"/>
          </w:tcPr>
          <w:p w:rsidRPr="00F4711F" w:rsidR="005D155B" w:rsidP="001B36EE" w:rsidRDefault="00D35624" w14:paraId="50F1F154" w14:textId="2AC1C5D2">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 xml:space="preserve">Staff costs and </w:t>
            </w:r>
            <w:r w:rsidR="00F4711F">
              <w:rPr>
                <w:rFonts w:ascii="Poppins" w:hAnsi="Poppins" w:cs="Poppins" w:eastAsiaTheme="majorEastAsia"/>
                <w:b/>
                <w:bCs/>
                <w:color w:val="FFFFFF" w:themeColor="background1"/>
                <w:sz w:val="20"/>
                <w:szCs w:val="20"/>
              </w:rPr>
              <w:br/>
            </w:r>
            <w:r w:rsidRPr="00F4711F">
              <w:rPr>
                <w:rFonts w:ascii="Poppins" w:hAnsi="Poppins" w:cs="Poppins" w:eastAsiaTheme="majorEastAsia"/>
                <w:b/>
                <w:bCs/>
                <w:color w:val="FFFFFF" w:themeColor="background1"/>
                <w:sz w:val="20"/>
                <w:szCs w:val="20"/>
              </w:rPr>
              <w:t>estimated hours</w:t>
            </w:r>
            <w:r w:rsidR="00444A06">
              <w:rPr>
                <w:rFonts w:ascii="Poppins" w:hAnsi="Poppins" w:cs="Poppins" w:eastAsiaTheme="majorEastAsia"/>
                <w:b/>
                <w:bCs/>
                <w:color w:val="FFFFFF" w:themeColor="background1"/>
                <w:sz w:val="20"/>
                <w:szCs w:val="20"/>
              </w:rPr>
              <w:t>*</w:t>
            </w:r>
          </w:p>
          <w:p w:rsidRPr="00F4711F" w:rsidR="007F55FE" w:rsidP="001B36EE" w:rsidRDefault="007F55FE" w14:paraId="3B8EA77E" w14:textId="56418615">
            <w:pPr>
              <w:jc w:val="center"/>
              <w:rPr>
                <w:rFonts w:ascii="Poppins" w:hAnsi="Poppins" w:cs="Poppins" w:eastAsiaTheme="majorEastAsia"/>
                <w:i/>
                <w:iCs/>
                <w:color w:val="FFFFFF" w:themeColor="background1"/>
                <w:sz w:val="16"/>
                <w:szCs w:val="16"/>
              </w:rPr>
            </w:pPr>
          </w:p>
        </w:tc>
        <w:tc>
          <w:tcPr>
            <w:tcW w:w="1193" w:type="dxa"/>
            <w:shd w:val="clear" w:color="auto" w:fill="0096FF"/>
            <w:vAlign w:val="center"/>
          </w:tcPr>
          <w:p w:rsidRPr="00F4711F" w:rsidR="005D155B" w:rsidP="001B36EE" w:rsidRDefault="008C6A74" w14:paraId="6ABC7286" w14:textId="50506730">
            <w:pPr>
              <w:jc w:val="center"/>
              <w:rPr>
                <w:rFonts w:ascii="Poppins" w:hAnsi="Poppins" w:cs="Poppins" w:eastAsiaTheme="majorEastAsia"/>
                <w:color w:val="FFFFFF" w:themeColor="background1"/>
                <w:sz w:val="20"/>
                <w:szCs w:val="20"/>
              </w:rPr>
            </w:pPr>
            <w:r w:rsidRPr="00F4711F">
              <w:rPr>
                <w:rFonts w:ascii="Poppins" w:hAnsi="Poppins" w:cs="Poppins" w:eastAsiaTheme="majorEastAsia"/>
                <w:b/>
                <w:bCs/>
                <w:color w:val="FFFFFF" w:themeColor="background1"/>
                <w:sz w:val="20"/>
                <w:szCs w:val="20"/>
              </w:rPr>
              <w:t>Hourly rate</w:t>
            </w:r>
            <w:r w:rsidRPr="00F4711F">
              <w:rPr>
                <w:rFonts w:ascii="Poppins" w:hAnsi="Poppins" w:cs="Poppins" w:eastAsiaTheme="majorEastAsia"/>
                <w:color w:val="FFFFFF" w:themeColor="background1"/>
                <w:sz w:val="20"/>
                <w:szCs w:val="20"/>
              </w:rPr>
              <w:t xml:space="preserve"> </w:t>
            </w:r>
            <w:r w:rsidRPr="00F4711F">
              <w:rPr>
                <w:rFonts w:ascii="Poppins" w:hAnsi="Poppins" w:cs="Poppins" w:eastAsiaTheme="majorEastAsia"/>
                <w:b/>
                <w:bCs/>
                <w:color w:val="FFFFFF" w:themeColor="background1"/>
                <w:sz w:val="20"/>
                <w:szCs w:val="20"/>
              </w:rPr>
              <w:t>(£)</w:t>
            </w:r>
          </w:p>
        </w:tc>
        <w:tc>
          <w:tcPr>
            <w:tcW w:w="1019" w:type="dxa"/>
            <w:shd w:val="clear" w:color="auto" w:fill="0096FF"/>
            <w:vAlign w:val="center"/>
          </w:tcPr>
          <w:p w:rsidRPr="00F4711F" w:rsidR="005D155B" w:rsidP="001B36EE" w:rsidRDefault="003C00D8" w14:paraId="5A827225" w14:textId="4F39AF17">
            <w:pPr>
              <w:jc w:val="center"/>
              <w:rPr>
                <w:rFonts w:ascii="Poppins" w:hAnsi="Poppins" w:cs="Poppins" w:eastAsiaTheme="majorEastAsia"/>
                <w:color w:val="FFFFFF" w:themeColor="background1"/>
                <w:sz w:val="20"/>
                <w:szCs w:val="20"/>
              </w:rPr>
            </w:pPr>
            <w:proofErr w:type="gramStart"/>
            <w:r w:rsidRPr="00F4711F">
              <w:rPr>
                <w:rFonts w:ascii="Poppins" w:hAnsi="Poppins" w:cs="Poppins" w:eastAsiaTheme="majorEastAsia"/>
                <w:b/>
                <w:bCs/>
                <w:color w:val="FFFFFF" w:themeColor="background1"/>
                <w:sz w:val="20"/>
                <w:szCs w:val="20"/>
              </w:rPr>
              <w:t>On-cost</w:t>
            </w:r>
            <w:proofErr w:type="gramEnd"/>
            <w:r w:rsidRPr="00F4711F">
              <w:rPr>
                <w:rFonts w:ascii="Poppins" w:hAnsi="Poppins" w:cs="Poppins" w:eastAsiaTheme="majorEastAsia"/>
                <w:color w:val="FFFFFF" w:themeColor="background1"/>
                <w:sz w:val="20"/>
                <w:szCs w:val="20"/>
              </w:rPr>
              <w:t xml:space="preserve"> </w:t>
            </w:r>
            <w:r w:rsidRPr="00F4711F">
              <w:rPr>
                <w:rFonts w:ascii="Poppins" w:hAnsi="Poppins" w:cs="Poppins" w:eastAsiaTheme="majorEastAsia"/>
                <w:b/>
                <w:bCs/>
                <w:color w:val="FFFFFF" w:themeColor="background1"/>
                <w:sz w:val="20"/>
                <w:szCs w:val="20"/>
              </w:rPr>
              <w:t>%</w:t>
            </w:r>
          </w:p>
        </w:tc>
        <w:tc>
          <w:tcPr>
            <w:tcW w:w="1560" w:type="dxa"/>
            <w:shd w:val="clear" w:color="auto" w:fill="0096FF"/>
            <w:vAlign w:val="center"/>
          </w:tcPr>
          <w:p w:rsidRPr="00F4711F" w:rsidR="005D155B" w:rsidP="001B36EE" w:rsidRDefault="00753FE9" w14:paraId="5961CBC2" w14:textId="09084949">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Pre-</w:t>
            </w:r>
            <w:r w:rsidRPr="00F4711F" w:rsidR="00130744">
              <w:rPr>
                <w:rFonts w:ascii="Poppins" w:hAnsi="Poppins" w:cs="Poppins" w:eastAsiaTheme="majorEastAsia"/>
                <w:b/>
                <w:bCs/>
                <w:color w:val="FFFFFF" w:themeColor="background1"/>
                <w:sz w:val="20"/>
                <w:szCs w:val="20"/>
              </w:rPr>
              <w:br/>
            </w:r>
            <w:r w:rsidRPr="00F4711F">
              <w:rPr>
                <w:rFonts w:ascii="Poppins" w:hAnsi="Poppins" w:cs="Poppins" w:eastAsiaTheme="majorEastAsia"/>
                <w:b/>
                <w:bCs/>
                <w:color w:val="FFFFFF" w:themeColor="background1"/>
                <w:sz w:val="20"/>
                <w:szCs w:val="20"/>
              </w:rPr>
              <w:t xml:space="preserve">assessment </w:t>
            </w:r>
            <w:r w:rsidR="00FA2047">
              <w:rPr>
                <w:rFonts w:ascii="Poppins" w:hAnsi="Poppins" w:cs="Poppins" w:eastAsiaTheme="majorEastAsia"/>
                <w:b/>
                <w:bCs/>
                <w:color w:val="FFFFFF" w:themeColor="background1"/>
                <w:sz w:val="20"/>
                <w:szCs w:val="20"/>
              </w:rPr>
              <w:t>appt mins</w:t>
            </w:r>
          </w:p>
        </w:tc>
        <w:tc>
          <w:tcPr>
            <w:tcW w:w="1134" w:type="dxa"/>
            <w:gridSpan w:val="2"/>
            <w:shd w:val="clear" w:color="auto" w:fill="0096FF"/>
            <w:vAlign w:val="center"/>
          </w:tcPr>
          <w:p w:rsidRPr="00F4711F" w:rsidR="00AE078F" w:rsidP="001B36EE" w:rsidRDefault="00CB6251" w14:paraId="17D2B4E9" w14:textId="23258E40">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 xml:space="preserve">Per infusion </w:t>
            </w:r>
            <w:r w:rsidR="00FA2047">
              <w:rPr>
                <w:rFonts w:ascii="Poppins" w:hAnsi="Poppins" w:cs="Poppins" w:eastAsiaTheme="majorEastAsia"/>
                <w:b/>
                <w:bCs/>
                <w:color w:val="FFFFFF" w:themeColor="background1"/>
                <w:sz w:val="20"/>
                <w:szCs w:val="20"/>
              </w:rPr>
              <w:t>appt mins</w:t>
            </w:r>
          </w:p>
        </w:tc>
        <w:tc>
          <w:tcPr>
            <w:tcW w:w="1063" w:type="dxa"/>
            <w:shd w:val="clear" w:color="auto" w:fill="0096FF"/>
            <w:vAlign w:val="center"/>
          </w:tcPr>
          <w:p w:rsidRPr="00F4711F" w:rsidR="00AE078F" w:rsidP="001B36EE" w:rsidRDefault="00CB6251" w14:paraId="64E79209" w14:textId="02AEB3FC">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 xml:space="preserve">Follow-up </w:t>
            </w:r>
            <w:r w:rsidR="00FA2047">
              <w:rPr>
                <w:rFonts w:ascii="Poppins" w:hAnsi="Poppins" w:cs="Poppins" w:eastAsiaTheme="majorEastAsia"/>
                <w:b/>
                <w:bCs/>
                <w:color w:val="FFFFFF" w:themeColor="background1"/>
                <w:sz w:val="20"/>
                <w:szCs w:val="20"/>
              </w:rPr>
              <w:t>appt mins</w:t>
            </w:r>
          </w:p>
        </w:tc>
      </w:tr>
      <w:tr w:rsidRPr="00D35624" w:rsidR="00F4711F" w:rsidTr="001273FD" w14:paraId="5D817D7A" w14:textId="77777777">
        <w:trPr>
          <w:trHeight w:val="794"/>
        </w:trPr>
        <w:tc>
          <w:tcPr>
            <w:tcW w:w="2891" w:type="dxa"/>
            <w:shd w:val="clear" w:color="auto" w:fill="A4D6EF"/>
            <w:vAlign w:val="center"/>
          </w:tcPr>
          <w:p w:rsidRPr="00CE0A0B" w:rsidR="00D35624" w:rsidP="001B36EE" w:rsidRDefault="00D35624" w14:paraId="489C892B" w14:textId="61FE6360">
            <w:pPr>
              <w:jc w:val="center"/>
              <w:rPr>
                <w:rFonts w:ascii="Poppins" w:hAnsi="Poppins" w:cs="Poppins" w:eastAsiaTheme="majorEastAsia"/>
                <w:b/>
                <w:bCs/>
                <w:sz w:val="20"/>
                <w:szCs w:val="20"/>
                <w:vertAlign w:val="superscript"/>
              </w:rPr>
            </w:pPr>
            <w:r w:rsidRPr="00F4711F">
              <w:rPr>
                <w:rFonts w:ascii="Poppins" w:hAnsi="Poppins" w:cs="Poppins" w:eastAsiaTheme="majorEastAsia"/>
                <w:b/>
                <w:bCs/>
                <w:sz w:val="20"/>
                <w:szCs w:val="20"/>
              </w:rPr>
              <w:t>Consultant  endocrinologist</w:t>
            </w:r>
            <w:r w:rsidR="00444A06">
              <w:rPr>
                <w:rFonts w:ascii="Poppins" w:hAnsi="Poppins" w:cs="Poppins" w:eastAsiaTheme="majorEastAsia"/>
                <w:b/>
                <w:bCs/>
                <w:sz w:val="20"/>
                <w:szCs w:val="20"/>
              </w:rPr>
              <w:t xml:space="preserve"> / diabetologist</w:t>
            </w:r>
            <w:r w:rsidR="006D77EA">
              <w:rPr>
                <w:rFonts w:ascii="Poppins" w:hAnsi="Poppins" w:cs="Poppins" w:eastAsiaTheme="majorEastAsia"/>
                <w:b/>
                <w:bCs/>
                <w:sz w:val="20"/>
                <w:szCs w:val="20"/>
              </w:rPr>
              <w:fldChar w:fldCharType="begin"/>
            </w:r>
            <w:r w:rsidR="006D77EA">
              <w:rPr>
                <w:rFonts w:ascii="Poppins" w:hAnsi="Poppins" w:cs="Poppins" w:eastAsiaTheme="majorEastAsia"/>
                <w:b/>
                <w:bCs/>
                <w:sz w:val="20"/>
                <w:szCs w:val="20"/>
              </w:rPr>
              <w:instrText xml:space="preserve"> ADDIN EN.CITE &lt;EndNote&gt;&lt;Cite&gt;&lt;Author&gt;PSSRU&lt;/Author&gt;&lt;Year&gt;2024&lt;/Year&gt;&lt;RecNum&gt;31220&lt;/RecNum&gt;&lt;DisplayText&gt;&lt;style face="superscript"&gt;(PSSRU, 2024)&lt;/style&gt;&lt;/DisplayText&gt;&lt;record&gt;&lt;rec-number&gt;31220&lt;/rec-number&gt;&lt;foreign-keys&gt;&lt;key app="EN" db-id="f5f5va0252p5fee95pj55es3tdereta29dxz" timestamp="1778142579"&gt;31220&lt;/key&gt;&lt;/foreign-keys&gt;&lt;ref-type name="Generic"&gt;13&lt;/ref-type&gt;&lt;contributors&gt;&lt;authors&gt;&lt;author&gt;PSSRU&lt;/author&gt;&lt;/authors&gt;&lt;/contributors&gt;&lt;titles&gt;&lt;title&gt;Unit cost of health and social care&lt;/title&gt;&lt;/titles&gt;&lt;dates&gt;&lt;year&gt;2024&lt;/year&gt;&lt;/dates&gt;&lt;urls&gt;&lt;related-urls&gt;&lt;url&gt;https://pssru.ac.uk/project-pages/unit-costs/unit-costs-of-health-and-social-care-2024/&lt;/url&gt;&lt;/related-urls&gt;&lt;/urls&gt;&lt;access-date&gt;May 2026&lt;/access-date&gt;&lt;/record&gt;&lt;/Cite&gt;&lt;/EndNote&gt;</w:instrText>
            </w:r>
            <w:r w:rsidR="006D77EA">
              <w:rPr>
                <w:rFonts w:ascii="Poppins" w:hAnsi="Poppins" w:cs="Poppins" w:eastAsiaTheme="majorEastAsia"/>
                <w:b/>
                <w:bCs/>
                <w:sz w:val="20"/>
                <w:szCs w:val="20"/>
              </w:rPr>
              <w:fldChar w:fldCharType="separate"/>
            </w:r>
            <w:r w:rsidRPr="006D77EA" w:rsidR="006D77EA">
              <w:rPr>
                <w:rFonts w:ascii="Poppins" w:hAnsi="Poppins" w:cs="Poppins" w:eastAsiaTheme="majorEastAsia"/>
                <w:b/>
                <w:bCs/>
                <w:noProof/>
                <w:sz w:val="20"/>
                <w:szCs w:val="20"/>
                <w:vertAlign w:val="superscript"/>
              </w:rPr>
              <w:t>(PSSRU, 2024)</w:t>
            </w:r>
            <w:r w:rsidR="006D77EA">
              <w:rPr>
                <w:rFonts w:ascii="Poppins" w:hAnsi="Poppins" w:cs="Poppins" w:eastAsiaTheme="majorEastAsia"/>
                <w:b/>
                <w:bCs/>
                <w:sz w:val="20"/>
                <w:szCs w:val="20"/>
              </w:rPr>
              <w:fldChar w:fldCharType="end"/>
            </w:r>
          </w:p>
        </w:tc>
        <w:tc>
          <w:tcPr>
            <w:tcW w:w="1193" w:type="dxa"/>
            <w:shd w:val="clear" w:color="auto" w:fill="F2F2F2" w:themeFill="background1" w:themeFillShade="F2"/>
            <w:vAlign w:val="center"/>
          </w:tcPr>
          <w:p w:rsidRPr="00D35624" w:rsidR="00D35624" w:rsidP="001B36EE" w:rsidRDefault="00FA2047" w14:paraId="38470778" w14:textId="7E0D87D6">
            <w:pPr>
              <w:jc w:val="center"/>
              <w:rPr>
                <w:rFonts w:ascii="Poppins" w:hAnsi="Poppins" w:cs="Poppins" w:eastAsiaTheme="majorEastAsia"/>
                <w:sz w:val="20"/>
                <w:szCs w:val="20"/>
              </w:rPr>
            </w:pPr>
            <w:r>
              <w:rPr>
                <w:rFonts w:ascii="Poppins" w:hAnsi="Poppins" w:cs="Poppins" w:eastAsiaTheme="majorEastAsia"/>
                <w:sz w:val="20"/>
                <w:szCs w:val="20"/>
              </w:rPr>
              <w:t>121.00</w:t>
            </w:r>
          </w:p>
        </w:tc>
        <w:tc>
          <w:tcPr>
            <w:tcW w:w="1019" w:type="dxa"/>
            <w:shd w:val="clear" w:color="auto" w:fill="F2F2F2" w:themeFill="background1" w:themeFillShade="F2"/>
            <w:vAlign w:val="center"/>
          </w:tcPr>
          <w:p w:rsidRPr="00D35624" w:rsidR="00D35624" w:rsidP="001B36EE" w:rsidRDefault="00FA2047" w14:paraId="17F66010" w14:textId="21090DCD">
            <w:pPr>
              <w:jc w:val="center"/>
              <w:rPr>
                <w:rFonts w:ascii="Poppins" w:hAnsi="Poppins" w:cs="Poppins" w:eastAsiaTheme="majorEastAsia"/>
                <w:sz w:val="20"/>
                <w:szCs w:val="20"/>
              </w:rPr>
            </w:pPr>
            <w:r>
              <w:rPr>
                <w:rFonts w:ascii="Poppins" w:hAnsi="Poppins" w:cs="Poppins" w:eastAsiaTheme="majorEastAsia"/>
                <w:sz w:val="20"/>
                <w:szCs w:val="20"/>
              </w:rPr>
              <w:t>N/A</w:t>
            </w:r>
          </w:p>
        </w:tc>
        <w:tc>
          <w:tcPr>
            <w:tcW w:w="1560" w:type="dxa"/>
            <w:shd w:val="clear" w:color="auto" w:fill="F2F2F2" w:themeFill="background1" w:themeFillShade="F2"/>
            <w:vAlign w:val="center"/>
          </w:tcPr>
          <w:p w:rsidRPr="00D35624" w:rsidR="00D35624" w:rsidP="001B36EE" w:rsidRDefault="00FA2047" w14:paraId="61CFF4A4" w14:textId="4C28562C">
            <w:pPr>
              <w:jc w:val="center"/>
              <w:rPr>
                <w:rFonts w:ascii="Poppins" w:hAnsi="Poppins" w:cs="Poppins" w:eastAsiaTheme="majorEastAsia"/>
                <w:sz w:val="20"/>
                <w:szCs w:val="20"/>
              </w:rPr>
            </w:pPr>
            <w:r>
              <w:rPr>
                <w:rFonts w:ascii="Poppins" w:hAnsi="Poppins" w:cs="Poppins" w:eastAsiaTheme="majorEastAsia"/>
                <w:sz w:val="20"/>
                <w:szCs w:val="20"/>
              </w:rPr>
              <w:t>30</w:t>
            </w:r>
          </w:p>
        </w:tc>
        <w:tc>
          <w:tcPr>
            <w:tcW w:w="1003" w:type="dxa"/>
            <w:shd w:val="clear" w:color="auto" w:fill="F2F2F2" w:themeFill="background1" w:themeFillShade="F2"/>
            <w:vAlign w:val="center"/>
          </w:tcPr>
          <w:p w:rsidRPr="00D35624" w:rsidR="00D35624" w:rsidP="001B36EE" w:rsidRDefault="00FA2047" w14:paraId="01E92594" w14:textId="717F8742">
            <w:pPr>
              <w:jc w:val="center"/>
              <w:rPr>
                <w:rFonts w:ascii="Poppins" w:hAnsi="Poppins" w:cs="Poppins" w:eastAsiaTheme="majorEastAsia"/>
                <w:sz w:val="20"/>
                <w:szCs w:val="20"/>
              </w:rPr>
            </w:pPr>
            <w:r>
              <w:rPr>
                <w:rFonts w:ascii="Poppins" w:hAnsi="Poppins" w:cs="Poppins" w:eastAsiaTheme="majorEastAsia"/>
                <w:sz w:val="20"/>
                <w:szCs w:val="20"/>
              </w:rPr>
              <w:t>12</w:t>
            </w:r>
          </w:p>
        </w:tc>
        <w:tc>
          <w:tcPr>
            <w:tcW w:w="1194" w:type="dxa"/>
            <w:gridSpan w:val="2"/>
            <w:shd w:val="clear" w:color="auto" w:fill="F2F2F2" w:themeFill="background1" w:themeFillShade="F2"/>
            <w:vAlign w:val="center"/>
          </w:tcPr>
          <w:p w:rsidRPr="00D35624" w:rsidR="00D35624" w:rsidP="001B36EE" w:rsidRDefault="00FA2047" w14:paraId="685344C1" w14:textId="1F781362">
            <w:pPr>
              <w:jc w:val="center"/>
              <w:rPr>
                <w:rFonts w:ascii="Poppins" w:hAnsi="Poppins" w:cs="Poppins" w:eastAsiaTheme="majorEastAsia"/>
                <w:sz w:val="20"/>
                <w:szCs w:val="20"/>
              </w:rPr>
            </w:pPr>
            <w:r>
              <w:rPr>
                <w:rFonts w:ascii="Poppins" w:hAnsi="Poppins" w:cs="Poppins" w:eastAsiaTheme="majorEastAsia"/>
                <w:sz w:val="20"/>
                <w:szCs w:val="20"/>
              </w:rPr>
              <w:t>30</w:t>
            </w:r>
          </w:p>
        </w:tc>
      </w:tr>
      <w:tr w:rsidRPr="00D35624" w:rsidR="00444A06" w:rsidTr="001273FD" w14:paraId="39F18C3A" w14:textId="77777777">
        <w:trPr>
          <w:trHeight w:val="794"/>
        </w:trPr>
        <w:tc>
          <w:tcPr>
            <w:tcW w:w="2891" w:type="dxa"/>
            <w:shd w:val="clear" w:color="auto" w:fill="A4D6EF"/>
            <w:vAlign w:val="center"/>
          </w:tcPr>
          <w:p w:rsidRPr="00CE0A0B" w:rsidR="00444A06" w:rsidP="001B36EE" w:rsidRDefault="00444A06" w14:paraId="7A1625B0" w14:textId="64655DFD">
            <w:pPr>
              <w:jc w:val="center"/>
              <w:rPr>
                <w:rFonts w:ascii="Poppins" w:hAnsi="Poppins" w:cs="Poppins" w:eastAsiaTheme="majorEastAsia"/>
                <w:b/>
                <w:bCs/>
                <w:sz w:val="20"/>
                <w:szCs w:val="20"/>
                <w:vertAlign w:val="superscript"/>
              </w:rPr>
            </w:pPr>
            <w:r>
              <w:rPr>
                <w:rFonts w:ascii="Poppins" w:hAnsi="Poppins" w:cs="Poppins" w:eastAsiaTheme="majorEastAsia"/>
                <w:b/>
                <w:bCs/>
                <w:sz w:val="20"/>
                <w:szCs w:val="20"/>
              </w:rPr>
              <w:t>Clinical psychologist consultant</w:t>
            </w:r>
            <w:r w:rsidR="006D77EA">
              <w:rPr>
                <w:rFonts w:ascii="Poppins" w:hAnsi="Poppins" w:cs="Poppins" w:eastAsiaTheme="majorEastAsia"/>
                <w:b/>
                <w:bCs/>
                <w:sz w:val="20"/>
                <w:szCs w:val="20"/>
              </w:rPr>
              <w:fldChar w:fldCharType="begin"/>
            </w:r>
            <w:r w:rsidR="006D77EA">
              <w:rPr>
                <w:rFonts w:ascii="Poppins" w:hAnsi="Poppins" w:cs="Poppins" w:eastAsiaTheme="majorEastAsia"/>
                <w:b/>
                <w:bCs/>
                <w:sz w:val="20"/>
                <w:szCs w:val="20"/>
              </w:rPr>
              <w:instrText xml:space="preserve"> ADDIN EN.CITE &lt;EndNote&gt;&lt;Cite&gt;&lt;Author&gt;PSSRU&lt;/Author&gt;&lt;Year&gt;2024&lt;/Year&gt;&lt;RecNum&gt;31220&lt;/RecNum&gt;&lt;DisplayText&gt;&lt;style face="superscript"&gt;(PSSRU, 2024)&lt;/style&gt;&lt;/DisplayText&gt;&lt;record&gt;&lt;rec-number&gt;31220&lt;/rec-number&gt;&lt;foreign-keys&gt;&lt;key app="EN" db-id="f5f5va0252p5fee95pj55es3tdereta29dxz" timestamp="1778142579"&gt;31220&lt;/key&gt;&lt;/foreign-keys&gt;&lt;ref-type name="Generic"&gt;13&lt;/ref-type&gt;&lt;contributors&gt;&lt;authors&gt;&lt;author&gt;PSSRU&lt;/author&gt;&lt;/authors&gt;&lt;/contributors&gt;&lt;titles&gt;&lt;title&gt;Unit cost of health and social care&lt;/title&gt;&lt;/titles&gt;&lt;dates&gt;&lt;year&gt;2024&lt;/year&gt;&lt;/dates&gt;&lt;urls&gt;&lt;related-urls&gt;&lt;url&gt;https://pssru.ac.uk/project-pages/unit-costs/unit-costs-of-health-and-social-care-2024/&lt;/url&gt;&lt;/related-urls&gt;&lt;/urls&gt;&lt;access-date&gt;May 2026&lt;/access-date&gt;&lt;/record&gt;&lt;/Cite&gt;&lt;/EndNote&gt;</w:instrText>
            </w:r>
            <w:r w:rsidR="006D77EA">
              <w:rPr>
                <w:rFonts w:ascii="Poppins" w:hAnsi="Poppins" w:cs="Poppins" w:eastAsiaTheme="majorEastAsia"/>
                <w:b/>
                <w:bCs/>
                <w:sz w:val="20"/>
                <w:szCs w:val="20"/>
              </w:rPr>
              <w:fldChar w:fldCharType="separate"/>
            </w:r>
            <w:r w:rsidRPr="006D77EA" w:rsidR="006D77EA">
              <w:rPr>
                <w:rFonts w:ascii="Poppins" w:hAnsi="Poppins" w:cs="Poppins" w:eastAsiaTheme="majorEastAsia"/>
                <w:b/>
                <w:bCs/>
                <w:noProof/>
                <w:sz w:val="20"/>
                <w:szCs w:val="20"/>
                <w:vertAlign w:val="superscript"/>
              </w:rPr>
              <w:t>(PSSRU, 2024)</w:t>
            </w:r>
            <w:r w:rsidR="006D77EA">
              <w:rPr>
                <w:rFonts w:ascii="Poppins" w:hAnsi="Poppins" w:cs="Poppins" w:eastAsiaTheme="majorEastAsia"/>
                <w:b/>
                <w:bCs/>
                <w:sz w:val="20"/>
                <w:szCs w:val="20"/>
              </w:rPr>
              <w:fldChar w:fldCharType="end"/>
            </w:r>
          </w:p>
        </w:tc>
        <w:tc>
          <w:tcPr>
            <w:tcW w:w="1193" w:type="dxa"/>
            <w:shd w:val="clear" w:color="auto" w:fill="F2F2F2" w:themeFill="background1" w:themeFillShade="F2"/>
            <w:vAlign w:val="center"/>
          </w:tcPr>
          <w:p w:rsidR="00444A06" w:rsidP="001B36EE" w:rsidRDefault="00444A06" w14:paraId="3EB0CC6B" w14:textId="18B00CCA">
            <w:pPr>
              <w:jc w:val="center"/>
              <w:rPr>
                <w:rFonts w:ascii="Poppins" w:hAnsi="Poppins" w:cs="Poppins" w:eastAsiaTheme="majorEastAsia"/>
                <w:sz w:val="20"/>
                <w:szCs w:val="20"/>
              </w:rPr>
            </w:pPr>
            <w:r>
              <w:rPr>
                <w:rFonts w:ascii="Poppins" w:hAnsi="Poppins" w:cs="Poppins" w:eastAsiaTheme="majorEastAsia"/>
                <w:sz w:val="20"/>
                <w:szCs w:val="20"/>
              </w:rPr>
              <w:t>103.00</w:t>
            </w:r>
          </w:p>
        </w:tc>
        <w:tc>
          <w:tcPr>
            <w:tcW w:w="1019" w:type="dxa"/>
            <w:shd w:val="clear" w:color="auto" w:fill="F2F2F2" w:themeFill="background1" w:themeFillShade="F2"/>
            <w:vAlign w:val="center"/>
          </w:tcPr>
          <w:p w:rsidR="00444A06" w:rsidP="001B36EE" w:rsidRDefault="00444A06" w14:paraId="1F9F0BE6" w14:textId="0041253D">
            <w:pPr>
              <w:jc w:val="center"/>
              <w:rPr>
                <w:rFonts w:ascii="Poppins" w:hAnsi="Poppins" w:cs="Poppins" w:eastAsiaTheme="majorEastAsia"/>
                <w:sz w:val="20"/>
                <w:szCs w:val="20"/>
              </w:rPr>
            </w:pPr>
            <w:r>
              <w:rPr>
                <w:rFonts w:ascii="Poppins" w:hAnsi="Poppins" w:cs="Poppins" w:eastAsiaTheme="majorEastAsia"/>
                <w:sz w:val="20"/>
                <w:szCs w:val="20"/>
              </w:rPr>
              <w:t>N/A</w:t>
            </w:r>
          </w:p>
        </w:tc>
        <w:tc>
          <w:tcPr>
            <w:tcW w:w="1560" w:type="dxa"/>
            <w:shd w:val="clear" w:color="auto" w:fill="F2F2F2" w:themeFill="background1" w:themeFillShade="F2"/>
            <w:vAlign w:val="center"/>
          </w:tcPr>
          <w:p w:rsidR="00444A06" w:rsidP="001B36EE" w:rsidRDefault="00444A06" w14:paraId="33984707" w14:textId="16F6C112">
            <w:pPr>
              <w:jc w:val="center"/>
              <w:rPr>
                <w:rFonts w:ascii="Poppins" w:hAnsi="Poppins" w:cs="Poppins" w:eastAsiaTheme="majorEastAsia"/>
                <w:sz w:val="20"/>
                <w:szCs w:val="20"/>
              </w:rPr>
            </w:pPr>
            <w:r>
              <w:rPr>
                <w:rFonts w:ascii="Poppins" w:hAnsi="Poppins" w:cs="Poppins" w:eastAsiaTheme="majorEastAsia"/>
                <w:sz w:val="20"/>
                <w:szCs w:val="20"/>
              </w:rPr>
              <w:t>30</w:t>
            </w:r>
          </w:p>
        </w:tc>
        <w:tc>
          <w:tcPr>
            <w:tcW w:w="1003" w:type="dxa"/>
            <w:shd w:val="clear" w:color="auto" w:fill="F2F2F2" w:themeFill="background1" w:themeFillShade="F2"/>
            <w:vAlign w:val="center"/>
          </w:tcPr>
          <w:p w:rsidR="00444A06" w:rsidP="001B36EE" w:rsidRDefault="00444A06" w14:paraId="73E9B487" w14:textId="13599753">
            <w:pPr>
              <w:jc w:val="center"/>
              <w:rPr>
                <w:rFonts w:ascii="Poppins" w:hAnsi="Poppins" w:cs="Poppins" w:eastAsiaTheme="majorEastAsia"/>
                <w:sz w:val="20"/>
                <w:szCs w:val="20"/>
              </w:rPr>
            </w:pPr>
            <w:r>
              <w:rPr>
                <w:rFonts w:ascii="Poppins" w:hAnsi="Poppins" w:cs="Poppins" w:eastAsiaTheme="majorEastAsia"/>
                <w:sz w:val="20"/>
                <w:szCs w:val="20"/>
              </w:rPr>
              <w:t>0</w:t>
            </w:r>
          </w:p>
        </w:tc>
        <w:tc>
          <w:tcPr>
            <w:tcW w:w="1194" w:type="dxa"/>
            <w:gridSpan w:val="2"/>
            <w:shd w:val="clear" w:color="auto" w:fill="F2F2F2" w:themeFill="background1" w:themeFillShade="F2"/>
            <w:vAlign w:val="center"/>
          </w:tcPr>
          <w:p w:rsidR="00444A06" w:rsidP="001B36EE" w:rsidRDefault="00444A06" w14:paraId="67BF88D7" w14:textId="2D5C7763">
            <w:pPr>
              <w:jc w:val="center"/>
              <w:rPr>
                <w:rFonts w:ascii="Poppins" w:hAnsi="Poppins" w:cs="Poppins" w:eastAsiaTheme="majorEastAsia"/>
                <w:sz w:val="20"/>
                <w:szCs w:val="20"/>
              </w:rPr>
            </w:pPr>
            <w:r>
              <w:rPr>
                <w:rFonts w:ascii="Poppins" w:hAnsi="Poppins" w:cs="Poppins" w:eastAsiaTheme="majorEastAsia"/>
                <w:sz w:val="20"/>
                <w:szCs w:val="20"/>
              </w:rPr>
              <w:t>10</w:t>
            </w:r>
          </w:p>
        </w:tc>
      </w:tr>
      <w:tr w:rsidRPr="00D35624" w:rsidR="00F4711F" w:rsidTr="001273FD" w14:paraId="3F99A81F" w14:textId="77777777">
        <w:trPr>
          <w:trHeight w:val="794"/>
        </w:trPr>
        <w:tc>
          <w:tcPr>
            <w:tcW w:w="2891" w:type="dxa"/>
            <w:shd w:val="clear" w:color="auto" w:fill="A4D6EF"/>
            <w:vAlign w:val="center"/>
          </w:tcPr>
          <w:p w:rsidRPr="00CE0A0B" w:rsidR="005D155B" w:rsidP="001B36EE" w:rsidRDefault="005D155B" w14:paraId="3C7BA961" w14:textId="52AA727C">
            <w:pPr>
              <w:jc w:val="center"/>
              <w:rPr>
                <w:rFonts w:ascii="Poppins" w:hAnsi="Poppins" w:cs="Poppins" w:eastAsiaTheme="majorEastAsia"/>
                <w:b/>
                <w:bCs/>
                <w:sz w:val="20"/>
                <w:szCs w:val="20"/>
                <w:vertAlign w:val="superscript"/>
              </w:rPr>
            </w:pPr>
            <w:r w:rsidRPr="00F4711F">
              <w:rPr>
                <w:rFonts w:ascii="Poppins" w:hAnsi="Poppins" w:cs="Poppins" w:eastAsiaTheme="majorEastAsia"/>
                <w:b/>
                <w:bCs/>
                <w:sz w:val="20"/>
                <w:szCs w:val="20"/>
              </w:rPr>
              <w:t>Clinical Pharmacist</w:t>
            </w:r>
            <w:r w:rsidR="006D77EA">
              <w:rPr>
                <w:rFonts w:ascii="Poppins" w:hAnsi="Poppins" w:cs="Poppins" w:eastAsiaTheme="majorEastAsia"/>
                <w:b/>
                <w:bCs/>
                <w:sz w:val="20"/>
                <w:szCs w:val="20"/>
              </w:rPr>
              <w:fldChar w:fldCharType="begin"/>
            </w:r>
            <w:r w:rsidR="006D77EA">
              <w:rPr>
                <w:rFonts w:ascii="Poppins" w:hAnsi="Poppins" w:cs="Poppins" w:eastAsiaTheme="majorEastAsia"/>
                <w:b/>
                <w:bCs/>
                <w:sz w:val="20"/>
                <w:szCs w:val="20"/>
              </w:rPr>
              <w:instrText xml:space="preserve"> ADDIN EN.CITE &lt;EndNote&gt;&lt;Cite&gt;&lt;Author&gt;NHS Employers&lt;/Author&gt;&lt;Year&gt;2026&lt;/Year&gt;&lt;RecNum&gt;31221&lt;/RecNum&gt;&lt;DisplayText&gt;&lt;style face="superscript"&gt;(NHS Employers, 2026)&lt;/style&gt;&lt;/DisplayText&gt;&lt;record&gt;&lt;rec-number&gt;31221&lt;/rec-number&gt;&lt;foreign-keys&gt;&lt;key app="EN" db-id="f5f5va0252p5fee95pj55es3tdereta29dxz" timestamp="1778143991"&gt;31221&lt;/key&gt;&lt;/foreign-keys&gt;&lt;ref-type name="Generic"&gt;13&lt;/ref-type&gt;&lt;contributors&gt;&lt;authors&gt;&lt;author&gt;NHS Employers,&lt;/author&gt;&lt;/authors&gt;&lt;/contributors&gt;&lt;titles&gt;&lt;title&gt;Agenda for Change pay scales 2026/27&lt;/title&gt;&lt;/titles&gt;&lt;dates&gt;&lt;year&gt;2026&lt;/year&gt;&lt;/dates&gt;&lt;urls&gt;&lt;related-urls&gt;&lt;url&gt;https://www.nhsemployers.org/articles/pay-scales-202627&lt;/url&gt;&lt;/related-urls&gt;&lt;/urls&gt;&lt;access-date&gt;May 2026&lt;/access-date&gt;&lt;/record&gt;&lt;/Cite&gt;&lt;/EndNote&gt;</w:instrText>
            </w:r>
            <w:r w:rsidR="006D77EA">
              <w:rPr>
                <w:rFonts w:ascii="Poppins" w:hAnsi="Poppins" w:cs="Poppins" w:eastAsiaTheme="majorEastAsia"/>
                <w:b/>
                <w:bCs/>
                <w:sz w:val="20"/>
                <w:szCs w:val="20"/>
              </w:rPr>
              <w:fldChar w:fldCharType="separate"/>
            </w:r>
            <w:r w:rsidRPr="006D77EA" w:rsidR="006D77EA">
              <w:rPr>
                <w:rFonts w:ascii="Poppins" w:hAnsi="Poppins" w:cs="Poppins" w:eastAsiaTheme="majorEastAsia"/>
                <w:b/>
                <w:bCs/>
                <w:noProof/>
                <w:sz w:val="20"/>
                <w:szCs w:val="20"/>
                <w:vertAlign w:val="superscript"/>
              </w:rPr>
              <w:t>(NHS Employers, 2026)</w:t>
            </w:r>
            <w:r w:rsidR="006D77EA">
              <w:rPr>
                <w:rFonts w:ascii="Poppins" w:hAnsi="Poppins" w:cs="Poppins" w:eastAsiaTheme="majorEastAsia"/>
                <w:b/>
                <w:bCs/>
                <w:sz w:val="20"/>
                <w:szCs w:val="20"/>
              </w:rPr>
              <w:fldChar w:fldCharType="end"/>
            </w:r>
          </w:p>
        </w:tc>
        <w:tc>
          <w:tcPr>
            <w:tcW w:w="1193" w:type="dxa"/>
            <w:shd w:val="clear" w:color="auto" w:fill="F2F2F2" w:themeFill="background1" w:themeFillShade="F2"/>
            <w:vAlign w:val="center"/>
          </w:tcPr>
          <w:p w:rsidRPr="00D35624" w:rsidR="005D155B" w:rsidP="001B36EE" w:rsidRDefault="0060320B" w14:paraId="6F1DB68B" w14:textId="560F7D7E">
            <w:pPr>
              <w:jc w:val="center"/>
              <w:rPr>
                <w:rFonts w:ascii="Poppins" w:hAnsi="Poppins" w:cs="Poppins" w:eastAsiaTheme="majorEastAsia"/>
                <w:sz w:val="20"/>
                <w:szCs w:val="20"/>
              </w:rPr>
            </w:pPr>
            <w:r>
              <w:rPr>
                <w:rFonts w:ascii="Poppins" w:hAnsi="Poppins" w:cs="Poppins" w:eastAsiaTheme="majorEastAsia"/>
                <w:sz w:val="20"/>
                <w:szCs w:val="20"/>
              </w:rPr>
              <w:t>3</w:t>
            </w:r>
            <w:r w:rsidR="00444A06">
              <w:rPr>
                <w:rFonts w:ascii="Poppins" w:hAnsi="Poppins" w:cs="Poppins" w:eastAsiaTheme="majorEastAsia"/>
                <w:sz w:val="20"/>
                <w:szCs w:val="20"/>
              </w:rPr>
              <w:t>6</w:t>
            </w:r>
            <w:r>
              <w:rPr>
                <w:rFonts w:ascii="Poppins" w:hAnsi="Poppins" w:cs="Poppins" w:eastAsiaTheme="majorEastAsia"/>
                <w:sz w:val="20"/>
                <w:szCs w:val="20"/>
              </w:rPr>
              <w:t>.2</w:t>
            </w:r>
            <w:r w:rsidR="00444A06">
              <w:rPr>
                <w:rFonts w:ascii="Poppins" w:hAnsi="Poppins" w:cs="Poppins" w:eastAsiaTheme="majorEastAsia"/>
                <w:sz w:val="20"/>
                <w:szCs w:val="20"/>
              </w:rPr>
              <w:t>6</w:t>
            </w:r>
          </w:p>
        </w:tc>
        <w:tc>
          <w:tcPr>
            <w:tcW w:w="1019" w:type="dxa"/>
            <w:shd w:val="clear" w:color="auto" w:fill="F2F2F2" w:themeFill="background1" w:themeFillShade="F2"/>
            <w:vAlign w:val="center"/>
          </w:tcPr>
          <w:p w:rsidRPr="00D35624" w:rsidR="005D155B" w:rsidP="001B36EE" w:rsidRDefault="0060320B" w14:paraId="61F0D733" w14:textId="729CCD26">
            <w:pPr>
              <w:jc w:val="center"/>
              <w:rPr>
                <w:rFonts w:ascii="Poppins" w:hAnsi="Poppins" w:cs="Poppins" w:eastAsiaTheme="majorEastAsia"/>
                <w:sz w:val="20"/>
                <w:szCs w:val="20"/>
              </w:rPr>
            </w:pPr>
            <w:r>
              <w:rPr>
                <w:rFonts w:ascii="Poppins" w:hAnsi="Poppins" w:cs="Poppins" w:eastAsiaTheme="majorEastAsia"/>
                <w:sz w:val="20"/>
                <w:szCs w:val="20"/>
              </w:rPr>
              <w:t>25</w:t>
            </w:r>
          </w:p>
        </w:tc>
        <w:tc>
          <w:tcPr>
            <w:tcW w:w="1560" w:type="dxa"/>
            <w:shd w:val="clear" w:color="auto" w:fill="F2F2F2" w:themeFill="background1" w:themeFillShade="F2"/>
            <w:vAlign w:val="center"/>
          </w:tcPr>
          <w:p w:rsidRPr="00D35624" w:rsidR="005D155B" w:rsidP="001B36EE" w:rsidRDefault="0060320B" w14:paraId="6F7C9E29" w14:textId="29A50FA7">
            <w:pPr>
              <w:jc w:val="center"/>
              <w:rPr>
                <w:rFonts w:ascii="Poppins" w:hAnsi="Poppins" w:cs="Poppins" w:eastAsiaTheme="majorEastAsia"/>
                <w:sz w:val="20"/>
                <w:szCs w:val="20"/>
              </w:rPr>
            </w:pPr>
            <w:r>
              <w:rPr>
                <w:rFonts w:ascii="Poppins" w:hAnsi="Poppins" w:cs="Poppins" w:eastAsiaTheme="majorEastAsia"/>
                <w:sz w:val="20"/>
                <w:szCs w:val="20"/>
              </w:rPr>
              <w:t>0</w:t>
            </w:r>
          </w:p>
        </w:tc>
        <w:tc>
          <w:tcPr>
            <w:tcW w:w="1003" w:type="dxa"/>
            <w:shd w:val="clear" w:color="auto" w:fill="F2F2F2" w:themeFill="background1" w:themeFillShade="F2"/>
            <w:vAlign w:val="center"/>
          </w:tcPr>
          <w:p w:rsidRPr="00D35624" w:rsidR="005D155B" w:rsidP="001B36EE" w:rsidRDefault="00444A06" w14:paraId="1ACC748C" w14:textId="070B556B">
            <w:pPr>
              <w:jc w:val="center"/>
              <w:rPr>
                <w:rFonts w:ascii="Poppins" w:hAnsi="Poppins" w:cs="Poppins" w:eastAsiaTheme="majorEastAsia"/>
                <w:sz w:val="20"/>
                <w:szCs w:val="20"/>
              </w:rPr>
            </w:pPr>
            <w:r>
              <w:rPr>
                <w:rFonts w:ascii="Poppins" w:hAnsi="Poppins" w:cs="Poppins" w:eastAsiaTheme="majorEastAsia"/>
                <w:sz w:val="20"/>
                <w:szCs w:val="20"/>
              </w:rPr>
              <w:t>1</w:t>
            </w:r>
            <w:r w:rsidR="0060320B">
              <w:rPr>
                <w:rFonts w:ascii="Poppins" w:hAnsi="Poppins" w:cs="Poppins" w:eastAsiaTheme="majorEastAsia"/>
                <w:sz w:val="20"/>
                <w:szCs w:val="20"/>
              </w:rPr>
              <w:t>5</w:t>
            </w:r>
          </w:p>
        </w:tc>
        <w:tc>
          <w:tcPr>
            <w:tcW w:w="1194" w:type="dxa"/>
            <w:gridSpan w:val="2"/>
            <w:shd w:val="clear" w:color="auto" w:fill="F2F2F2" w:themeFill="background1" w:themeFillShade="F2"/>
            <w:vAlign w:val="center"/>
          </w:tcPr>
          <w:p w:rsidRPr="00D35624" w:rsidR="005D155B" w:rsidP="001B36EE" w:rsidRDefault="0060320B" w14:paraId="1D4D754C" w14:textId="5F4136EB">
            <w:pPr>
              <w:jc w:val="center"/>
              <w:rPr>
                <w:rFonts w:ascii="Poppins" w:hAnsi="Poppins" w:cs="Poppins" w:eastAsiaTheme="majorEastAsia"/>
                <w:sz w:val="20"/>
                <w:szCs w:val="20"/>
              </w:rPr>
            </w:pPr>
            <w:r>
              <w:rPr>
                <w:rFonts w:ascii="Poppins" w:hAnsi="Poppins" w:cs="Poppins" w:eastAsiaTheme="majorEastAsia"/>
                <w:sz w:val="20"/>
                <w:szCs w:val="20"/>
              </w:rPr>
              <w:t>0</w:t>
            </w:r>
          </w:p>
        </w:tc>
      </w:tr>
      <w:tr w:rsidRPr="00D35624" w:rsidR="00F4711F" w:rsidTr="001273FD" w14:paraId="3FFBB8C0" w14:textId="77777777">
        <w:trPr>
          <w:trHeight w:val="794"/>
        </w:trPr>
        <w:tc>
          <w:tcPr>
            <w:tcW w:w="2891" w:type="dxa"/>
            <w:shd w:val="clear" w:color="auto" w:fill="A4D6EF"/>
            <w:vAlign w:val="center"/>
          </w:tcPr>
          <w:p w:rsidRPr="00CE0A0B" w:rsidR="005D155B" w:rsidP="001B36EE" w:rsidRDefault="005D155B" w14:paraId="2DC8E082" w14:textId="3D83FDDF">
            <w:pPr>
              <w:jc w:val="center"/>
              <w:rPr>
                <w:rFonts w:ascii="Poppins" w:hAnsi="Poppins" w:cs="Poppins" w:eastAsiaTheme="majorEastAsia"/>
                <w:b/>
                <w:bCs/>
                <w:sz w:val="20"/>
                <w:szCs w:val="20"/>
                <w:vertAlign w:val="superscript"/>
              </w:rPr>
            </w:pPr>
            <w:r w:rsidRPr="00F4711F">
              <w:rPr>
                <w:rFonts w:ascii="Poppins" w:hAnsi="Poppins" w:cs="Poppins" w:eastAsiaTheme="majorEastAsia"/>
                <w:b/>
                <w:bCs/>
                <w:sz w:val="20"/>
                <w:szCs w:val="20"/>
              </w:rPr>
              <w:t>Healthcare assistant / support worker</w:t>
            </w:r>
            <w:r w:rsidR="006D77EA">
              <w:rPr>
                <w:rFonts w:ascii="Poppins" w:hAnsi="Poppins" w:cs="Poppins" w:eastAsiaTheme="majorEastAsia"/>
                <w:b/>
                <w:bCs/>
                <w:sz w:val="20"/>
                <w:szCs w:val="20"/>
              </w:rPr>
              <w:fldChar w:fldCharType="begin"/>
            </w:r>
            <w:r w:rsidR="006D77EA">
              <w:rPr>
                <w:rFonts w:ascii="Poppins" w:hAnsi="Poppins" w:cs="Poppins" w:eastAsiaTheme="majorEastAsia"/>
                <w:b/>
                <w:bCs/>
                <w:sz w:val="20"/>
                <w:szCs w:val="20"/>
              </w:rPr>
              <w:instrText xml:space="preserve"> ADDIN EN.CITE &lt;EndNote&gt;&lt;Cite&gt;&lt;Author&gt;NHS Employers&lt;/Author&gt;&lt;Year&gt;2026&lt;/Year&gt;&lt;RecNum&gt;31221&lt;/RecNum&gt;&lt;DisplayText&gt;&lt;style face="superscript"&gt;(NHS Employers, 2026)&lt;/style&gt;&lt;/DisplayText&gt;&lt;record&gt;&lt;rec-number&gt;31221&lt;/rec-number&gt;&lt;foreign-keys&gt;&lt;key app="EN" db-id="f5f5va0252p5fee95pj55es3tdereta29dxz" timestamp="1778143991"&gt;31221&lt;/key&gt;&lt;/foreign-keys&gt;&lt;ref-type name="Generic"&gt;13&lt;/ref-type&gt;&lt;contributors&gt;&lt;authors&gt;&lt;author&gt;NHS Employers,&lt;/author&gt;&lt;/authors&gt;&lt;/contributors&gt;&lt;titles&gt;&lt;title&gt;Agenda for Change pay scales 2026/27&lt;/title&gt;&lt;/titles&gt;&lt;dates&gt;&lt;year&gt;2026&lt;/year&gt;&lt;/dates&gt;&lt;urls&gt;&lt;related-urls&gt;&lt;url&gt;https://www.nhsemployers.org/articles/pay-scales-202627&lt;/url&gt;&lt;/related-urls&gt;&lt;/urls&gt;&lt;access-date&gt;May 2026&lt;/access-date&gt;&lt;/record&gt;&lt;/Cite&gt;&lt;/EndNote&gt;</w:instrText>
            </w:r>
            <w:r w:rsidR="006D77EA">
              <w:rPr>
                <w:rFonts w:ascii="Poppins" w:hAnsi="Poppins" w:cs="Poppins" w:eastAsiaTheme="majorEastAsia"/>
                <w:b/>
                <w:bCs/>
                <w:sz w:val="20"/>
                <w:szCs w:val="20"/>
              </w:rPr>
              <w:fldChar w:fldCharType="separate"/>
            </w:r>
            <w:r w:rsidRPr="006D77EA" w:rsidR="006D77EA">
              <w:rPr>
                <w:rFonts w:ascii="Poppins" w:hAnsi="Poppins" w:cs="Poppins" w:eastAsiaTheme="majorEastAsia"/>
                <w:b/>
                <w:bCs/>
                <w:noProof/>
                <w:sz w:val="20"/>
                <w:szCs w:val="20"/>
                <w:vertAlign w:val="superscript"/>
              </w:rPr>
              <w:t>(NHS Employers, 2026)</w:t>
            </w:r>
            <w:r w:rsidR="006D77EA">
              <w:rPr>
                <w:rFonts w:ascii="Poppins" w:hAnsi="Poppins" w:cs="Poppins" w:eastAsiaTheme="majorEastAsia"/>
                <w:b/>
                <w:bCs/>
                <w:sz w:val="20"/>
                <w:szCs w:val="20"/>
              </w:rPr>
              <w:fldChar w:fldCharType="end"/>
            </w:r>
          </w:p>
        </w:tc>
        <w:tc>
          <w:tcPr>
            <w:tcW w:w="1193" w:type="dxa"/>
            <w:shd w:val="clear" w:color="auto" w:fill="F2F2F2" w:themeFill="background1" w:themeFillShade="F2"/>
            <w:vAlign w:val="center"/>
          </w:tcPr>
          <w:p w:rsidRPr="00D35624" w:rsidR="005D155B" w:rsidP="001B36EE" w:rsidRDefault="00444A06" w14:paraId="0E59A389" w14:textId="0A24935A">
            <w:pPr>
              <w:jc w:val="center"/>
              <w:rPr>
                <w:rFonts w:ascii="Poppins" w:hAnsi="Poppins" w:cs="Poppins" w:eastAsiaTheme="majorEastAsia"/>
                <w:sz w:val="20"/>
                <w:szCs w:val="20"/>
              </w:rPr>
            </w:pPr>
            <w:r>
              <w:rPr>
                <w:rFonts w:ascii="Poppins" w:hAnsi="Poppins" w:cs="Poppins" w:eastAsiaTheme="majorEastAsia"/>
                <w:sz w:val="20"/>
                <w:szCs w:val="20"/>
              </w:rPr>
              <w:t>14</w:t>
            </w:r>
            <w:r w:rsidR="0060320B">
              <w:rPr>
                <w:rFonts w:ascii="Poppins" w:hAnsi="Poppins" w:cs="Poppins" w:eastAsiaTheme="majorEastAsia"/>
                <w:sz w:val="20"/>
                <w:szCs w:val="20"/>
              </w:rPr>
              <w:t>.</w:t>
            </w:r>
            <w:r>
              <w:rPr>
                <w:rFonts w:ascii="Poppins" w:hAnsi="Poppins" w:cs="Poppins" w:eastAsiaTheme="majorEastAsia"/>
                <w:sz w:val="20"/>
                <w:szCs w:val="20"/>
              </w:rPr>
              <w:t>05</w:t>
            </w:r>
          </w:p>
        </w:tc>
        <w:tc>
          <w:tcPr>
            <w:tcW w:w="1019" w:type="dxa"/>
            <w:shd w:val="clear" w:color="auto" w:fill="F2F2F2" w:themeFill="background1" w:themeFillShade="F2"/>
            <w:vAlign w:val="center"/>
          </w:tcPr>
          <w:p w:rsidRPr="00D35624" w:rsidR="005D155B" w:rsidP="001B36EE" w:rsidRDefault="0060320B" w14:paraId="1FE37D1D" w14:textId="6958460C">
            <w:pPr>
              <w:jc w:val="center"/>
              <w:rPr>
                <w:rFonts w:ascii="Poppins" w:hAnsi="Poppins" w:cs="Poppins" w:eastAsiaTheme="majorEastAsia"/>
                <w:sz w:val="20"/>
                <w:szCs w:val="20"/>
              </w:rPr>
            </w:pPr>
            <w:r>
              <w:rPr>
                <w:rFonts w:ascii="Poppins" w:hAnsi="Poppins" w:cs="Poppins" w:eastAsiaTheme="majorEastAsia"/>
                <w:sz w:val="20"/>
                <w:szCs w:val="20"/>
              </w:rPr>
              <w:t>2</w:t>
            </w:r>
            <w:r w:rsidR="00444A06">
              <w:rPr>
                <w:rFonts w:ascii="Poppins" w:hAnsi="Poppins" w:cs="Poppins" w:eastAsiaTheme="majorEastAsia"/>
                <w:sz w:val="20"/>
                <w:szCs w:val="20"/>
              </w:rPr>
              <w:t>0</w:t>
            </w:r>
          </w:p>
        </w:tc>
        <w:tc>
          <w:tcPr>
            <w:tcW w:w="1560" w:type="dxa"/>
            <w:shd w:val="clear" w:color="auto" w:fill="F2F2F2" w:themeFill="background1" w:themeFillShade="F2"/>
            <w:vAlign w:val="center"/>
          </w:tcPr>
          <w:p w:rsidRPr="00D35624" w:rsidR="005D155B" w:rsidP="001B36EE" w:rsidRDefault="0060320B" w14:paraId="754379CE" w14:textId="380E0A91">
            <w:pPr>
              <w:jc w:val="center"/>
              <w:rPr>
                <w:rFonts w:ascii="Poppins" w:hAnsi="Poppins" w:cs="Poppins" w:eastAsiaTheme="majorEastAsia"/>
                <w:sz w:val="20"/>
                <w:szCs w:val="20"/>
              </w:rPr>
            </w:pPr>
            <w:r>
              <w:rPr>
                <w:rFonts w:ascii="Poppins" w:hAnsi="Poppins" w:cs="Poppins" w:eastAsiaTheme="majorEastAsia"/>
                <w:sz w:val="20"/>
                <w:szCs w:val="20"/>
              </w:rPr>
              <w:t>0</w:t>
            </w:r>
          </w:p>
        </w:tc>
        <w:tc>
          <w:tcPr>
            <w:tcW w:w="1003" w:type="dxa"/>
            <w:shd w:val="clear" w:color="auto" w:fill="F2F2F2" w:themeFill="background1" w:themeFillShade="F2"/>
            <w:vAlign w:val="center"/>
          </w:tcPr>
          <w:p w:rsidRPr="00D35624" w:rsidR="005D155B" w:rsidP="001B36EE" w:rsidRDefault="00444A06" w14:paraId="38A4BD7C" w14:textId="63100475">
            <w:pPr>
              <w:jc w:val="center"/>
              <w:rPr>
                <w:rFonts w:ascii="Poppins" w:hAnsi="Poppins" w:cs="Poppins" w:eastAsiaTheme="majorEastAsia"/>
                <w:sz w:val="20"/>
                <w:szCs w:val="20"/>
              </w:rPr>
            </w:pPr>
            <w:r>
              <w:rPr>
                <w:rFonts w:ascii="Poppins" w:hAnsi="Poppins" w:cs="Poppins" w:eastAsiaTheme="majorEastAsia"/>
                <w:sz w:val="20"/>
                <w:szCs w:val="20"/>
              </w:rPr>
              <w:t>30</w:t>
            </w:r>
          </w:p>
        </w:tc>
        <w:tc>
          <w:tcPr>
            <w:tcW w:w="1194" w:type="dxa"/>
            <w:gridSpan w:val="2"/>
            <w:shd w:val="clear" w:color="auto" w:fill="F2F2F2" w:themeFill="background1" w:themeFillShade="F2"/>
            <w:vAlign w:val="center"/>
          </w:tcPr>
          <w:p w:rsidRPr="00D35624" w:rsidR="005D155B" w:rsidP="001B36EE" w:rsidRDefault="0060320B" w14:paraId="04D379FE" w14:textId="2F7A0544">
            <w:pPr>
              <w:jc w:val="center"/>
              <w:rPr>
                <w:rFonts w:ascii="Poppins" w:hAnsi="Poppins" w:cs="Poppins" w:eastAsiaTheme="majorEastAsia"/>
                <w:sz w:val="20"/>
                <w:szCs w:val="20"/>
              </w:rPr>
            </w:pPr>
            <w:r>
              <w:rPr>
                <w:rFonts w:ascii="Poppins" w:hAnsi="Poppins" w:cs="Poppins" w:eastAsiaTheme="majorEastAsia"/>
                <w:sz w:val="20"/>
                <w:szCs w:val="20"/>
              </w:rPr>
              <w:t>0</w:t>
            </w:r>
          </w:p>
        </w:tc>
      </w:tr>
      <w:tr w:rsidRPr="00D35624" w:rsidR="00F4711F" w:rsidTr="001273FD" w14:paraId="011E5BA1" w14:textId="77777777">
        <w:trPr>
          <w:trHeight w:val="794"/>
        </w:trPr>
        <w:tc>
          <w:tcPr>
            <w:tcW w:w="2891" w:type="dxa"/>
            <w:shd w:val="clear" w:color="auto" w:fill="A4D6EF"/>
            <w:vAlign w:val="center"/>
          </w:tcPr>
          <w:p w:rsidRPr="00CE0A0B" w:rsidR="005D155B" w:rsidP="001B36EE" w:rsidRDefault="005D155B" w14:paraId="2E31C41C" w14:textId="0EE475D9">
            <w:pPr>
              <w:jc w:val="center"/>
              <w:rPr>
                <w:rFonts w:ascii="Poppins" w:hAnsi="Poppins" w:cs="Poppins" w:eastAsiaTheme="majorEastAsia"/>
                <w:b/>
                <w:bCs/>
                <w:sz w:val="20"/>
                <w:szCs w:val="20"/>
                <w:vertAlign w:val="superscript"/>
              </w:rPr>
            </w:pPr>
            <w:r w:rsidRPr="00F4711F">
              <w:rPr>
                <w:rFonts w:ascii="Poppins" w:hAnsi="Poppins" w:cs="Poppins" w:eastAsiaTheme="majorEastAsia"/>
                <w:b/>
                <w:bCs/>
                <w:sz w:val="20"/>
                <w:szCs w:val="20"/>
              </w:rPr>
              <w:t xml:space="preserve">Administrator / </w:t>
            </w:r>
            <w:r w:rsidR="00FC020F">
              <w:rPr>
                <w:rFonts w:ascii="Poppins" w:hAnsi="Poppins" w:cs="Poppins" w:eastAsiaTheme="majorEastAsia"/>
                <w:b/>
                <w:bCs/>
                <w:sz w:val="20"/>
                <w:szCs w:val="20"/>
              </w:rPr>
              <w:br/>
            </w:r>
            <w:r w:rsidRPr="00F4711F">
              <w:rPr>
                <w:rFonts w:ascii="Poppins" w:hAnsi="Poppins" w:cs="Poppins" w:eastAsiaTheme="majorEastAsia"/>
                <w:b/>
                <w:bCs/>
                <w:sz w:val="20"/>
                <w:szCs w:val="20"/>
              </w:rPr>
              <w:t>booking staff</w:t>
            </w:r>
            <w:r w:rsidR="006D77EA">
              <w:rPr>
                <w:rFonts w:ascii="Poppins" w:hAnsi="Poppins" w:cs="Poppins" w:eastAsiaTheme="majorEastAsia"/>
                <w:b/>
                <w:bCs/>
                <w:sz w:val="20"/>
                <w:szCs w:val="20"/>
              </w:rPr>
              <w:fldChar w:fldCharType="begin"/>
            </w:r>
            <w:r w:rsidR="006D77EA">
              <w:rPr>
                <w:rFonts w:ascii="Poppins" w:hAnsi="Poppins" w:cs="Poppins" w:eastAsiaTheme="majorEastAsia"/>
                <w:b/>
                <w:bCs/>
                <w:sz w:val="20"/>
                <w:szCs w:val="20"/>
              </w:rPr>
              <w:instrText xml:space="preserve"> ADDIN EN.CITE &lt;EndNote&gt;&lt;Cite&gt;&lt;Author&gt;NHS Employers&lt;/Author&gt;&lt;Year&gt;2026&lt;/Year&gt;&lt;RecNum&gt;31221&lt;/RecNum&gt;&lt;DisplayText&gt;&lt;style face="superscript"&gt;(NHS Employers, 2026)&lt;/style&gt;&lt;/DisplayText&gt;&lt;record&gt;&lt;rec-number&gt;31221&lt;/rec-number&gt;&lt;foreign-keys&gt;&lt;key app="EN" db-id="f5f5va0252p5fee95pj55es3tdereta29dxz" timestamp="1778143991"&gt;31221&lt;/key&gt;&lt;/foreign-keys&gt;&lt;ref-type name="Generic"&gt;13&lt;/ref-type&gt;&lt;contributors&gt;&lt;authors&gt;&lt;author&gt;NHS Employers,&lt;/author&gt;&lt;/authors&gt;&lt;/contributors&gt;&lt;titles&gt;&lt;title&gt;Agenda for Change pay scales 2026/27&lt;/title&gt;&lt;/titles&gt;&lt;dates&gt;&lt;year&gt;2026&lt;/year&gt;&lt;/dates&gt;&lt;urls&gt;&lt;related-urls&gt;&lt;url&gt;https://www.nhsemployers.org/articles/pay-scales-202627&lt;/url&gt;&lt;/related-urls&gt;&lt;/urls&gt;&lt;access-date&gt;May 2026&lt;/access-date&gt;&lt;/record&gt;&lt;/Cite&gt;&lt;/EndNote&gt;</w:instrText>
            </w:r>
            <w:r w:rsidR="006D77EA">
              <w:rPr>
                <w:rFonts w:ascii="Poppins" w:hAnsi="Poppins" w:cs="Poppins" w:eastAsiaTheme="majorEastAsia"/>
                <w:b/>
                <w:bCs/>
                <w:sz w:val="20"/>
                <w:szCs w:val="20"/>
              </w:rPr>
              <w:fldChar w:fldCharType="separate"/>
            </w:r>
            <w:r w:rsidRPr="006D77EA" w:rsidR="006D77EA">
              <w:rPr>
                <w:rFonts w:ascii="Poppins" w:hAnsi="Poppins" w:cs="Poppins" w:eastAsiaTheme="majorEastAsia"/>
                <w:b/>
                <w:bCs/>
                <w:noProof/>
                <w:sz w:val="20"/>
                <w:szCs w:val="20"/>
                <w:vertAlign w:val="superscript"/>
              </w:rPr>
              <w:t>(NHS Employers, 2026)</w:t>
            </w:r>
            <w:r w:rsidR="006D77EA">
              <w:rPr>
                <w:rFonts w:ascii="Poppins" w:hAnsi="Poppins" w:cs="Poppins" w:eastAsiaTheme="majorEastAsia"/>
                <w:b/>
                <w:bCs/>
                <w:sz w:val="20"/>
                <w:szCs w:val="20"/>
              </w:rPr>
              <w:fldChar w:fldCharType="end"/>
            </w:r>
          </w:p>
        </w:tc>
        <w:tc>
          <w:tcPr>
            <w:tcW w:w="1193" w:type="dxa"/>
            <w:shd w:val="clear" w:color="auto" w:fill="F2F2F2" w:themeFill="background1" w:themeFillShade="F2"/>
            <w:vAlign w:val="center"/>
          </w:tcPr>
          <w:p w:rsidRPr="00D35624" w:rsidR="005D155B" w:rsidP="001B36EE" w:rsidRDefault="0060320B" w14:paraId="463D35D2" w14:textId="73F3CB8C">
            <w:pPr>
              <w:jc w:val="center"/>
              <w:rPr>
                <w:rFonts w:ascii="Poppins" w:hAnsi="Poppins" w:cs="Poppins" w:eastAsiaTheme="majorEastAsia"/>
                <w:sz w:val="20"/>
                <w:szCs w:val="20"/>
              </w:rPr>
            </w:pPr>
            <w:r>
              <w:rPr>
                <w:rFonts w:ascii="Poppins" w:hAnsi="Poppins" w:cs="Poppins" w:eastAsiaTheme="majorEastAsia"/>
                <w:sz w:val="20"/>
                <w:szCs w:val="20"/>
              </w:rPr>
              <w:t>12</w:t>
            </w:r>
            <w:r w:rsidR="00444A06">
              <w:rPr>
                <w:rFonts w:ascii="Poppins" w:hAnsi="Poppins" w:cs="Poppins" w:eastAsiaTheme="majorEastAsia"/>
                <w:sz w:val="20"/>
                <w:szCs w:val="20"/>
              </w:rPr>
              <w:t>.92</w:t>
            </w:r>
          </w:p>
        </w:tc>
        <w:tc>
          <w:tcPr>
            <w:tcW w:w="1019" w:type="dxa"/>
            <w:shd w:val="clear" w:color="auto" w:fill="F2F2F2" w:themeFill="background1" w:themeFillShade="F2"/>
            <w:vAlign w:val="center"/>
          </w:tcPr>
          <w:p w:rsidRPr="00D35624" w:rsidR="005D155B" w:rsidP="001B36EE" w:rsidRDefault="0060320B" w14:paraId="3546965A" w14:textId="5ECDFD57">
            <w:pPr>
              <w:jc w:val="center"/>
              <w:rPr>
                <w:rFonts w:ascii="Poppins" w:hAnsi="Poppins" w:cs="Poppins" w:eastAsiaTheme="majorEastAsia"/>
                <w:sz w:val="20"/>
                <w:szCs w:val="20"/>
              </w:rPr>
            </w:pPr>
            <w:r>
              <w:rPr>
                <w:rFonts w:ascii="Poppins" w:hAnsi="Poppins" w:cs="Poppins" w:eastAsiaTheme="majorEastAsia"/>
                <w:sz w:val="20"/>
                <w:szCs w:val="20"/>
              </w:rPr>
              <w:t>2</w:t>
            </w:r>
            <w:r w:rsidR="00444A06">
              <w:rPr>
                <w:rFonts w:ascii="Poppins" w:hAnsi="Poppins" w:cs="Poppins" w:eastAsiaTheme="majorEastAsia"/>
                <w:sz w:val="20"/>
                <w:szCs w:val="20"/>
              </w:rPr>
              <w:t>0</w:t>
            </w:r>
          </w:p>
        </w:tc>
        <w:tc>
          <w:tcPr>
            <w:tcW w:w="1560" w:type="dxa"/>
            <w:shd w:val="clear" w:color="auto" w:fill="F2F2F2" w:themeFill="background1" w:themeFillShade="F2"/>
            <w:vAlign w:val="center"/>
          </w:tcPr>
          <w:p w:rsidRPr="00D35624" w:rsidR="005D155B" w:rsidP="001B36EE" w:rsidRDefault="00444A06" w14:paraId="7002C519" w14:textId="4E23265E">
            <w:pPr>
              <w:jc w:val="center"/>
              <w:rPr>
                <w:rFonts w:ascii="Poppins" w:hAnsi="Poppins" w:cs="Poppins" w:eastAsiaTheme="majorEastAsia"/>
                <w:sz w:val="20"/>
                <w:szCs w:val="20"/>
              </w:rPr>
            </w:pPr>
            <w:r>
              <w:rPr>
                <w:rFonts w:ascii="Poppins" w:hAnsi="Poppins" w:cs="Poppins" w:eastAsiaTheme="majorEastAsia"/>
                <w:sz w:val="20"/>
                <w:szCs w:val="20"/>
              </w:rPr>
              <w:t>30</w:t>
            </w:r>
          </w:p>
        </w:tc>
        <w:tc>
          <w:tcPr>
            <w:tcW w:w="1003" w:type="dxa"/>
            <w:shd w:val="clear" w:color="auto" w:fill="F2F2F2" w:themeFill="background1" w:themeFillShade="F2"/>
            <w:vAlign w:val="center"/>
          </w:tcPr>
          <w:p w:rsidRPr="00D35624" w:rsidR="005D155B" w:rsidP="001B36EE" w:rsidRDefault="0060320B" w14:paraId="35503815" w14:textId="783B182F">
            <w:pPr>
              <w:jc w:val="center"/>
              <w:rPr>
                <w:rFonts w:ascii="Poppins" w:hAnsi="Poppins" w:cs="Poppins" w:eastAsiaTheme="majorEastAsia"/>
                <w:sz w:val="20"/>
                <w:szCs w:val="20"/>
              </w:rPr>
            </w:pPr>
            <w:r>
              <w:rPr>
                <w:rFonts w:ascii="Poppins" w:hAnsi="Poppins" w:cs="Poppins" w:eastAsiaTheme="majorEastAsia"/>
                <w:sz w:val="20"/>
                <w:szCs w:val="20"/>
              </w:rPr>
              <w:t>0</w:t>
            </w:r>
          </w:p>
        </w:tc>
        <w:tc>
          <w:tcPr>
            <w:tcW w:w="1194" w:type="dxa"/>
            <w:gridSpan w:val="2"/>
            <w:shd w:val="clear" w:color="auto" w:fill="F2F2F2" w:themeFill="background1" w:themeFillShade="F2"/>
            <w:vAlign w:val="center"/>
          </w:tcPr>
          <w:p w:rsidRPr="00D35624" w:rsidR="005D155B" w:rsidP="001B36EE" w:rsidRDefault="00444A06" w14:paraId="36EB6F6C" w14:textId="4033254B">
            <w:pPr>
              <w:jc w:val="center"/>
              <w:rPr>
                <w:rFonts w:ascii="Poppins" w:hAnsi="Poppins" w:cs="Poppins" w:eastAsiaTheme="majorEastAsia"/>
                <w:sz w:val="20"/>
                <w:szCs w:val="20"/>
              </w:rPr>
            </w:pPr>
            <w:r>
              <w:rPr>
                <w:rFonts w:ascii="Poppins" w:hAnsi="Poppins" w:cs="Poppins" w:eastAsiaTheme="majorEastAsia"/>
                <w:sz w:val="20"/>
                <w:szCs w:val="20"/>
              </w:rPr>
              <w:t>18</w:t>
            </w:r>
          </w:p>
        </w:tc>
      </w:tr>
    </w:tbl>
    <w:p w:rsidR="001B36EE" w:rsidP="001B36EE" w:rsidRDefault="00444A06" w14:paraId="0B96CF6F" w14:textId="3374EB06">
      <w:pPr>
        <w:spacing w:before="120" w:line="240" w:lineRule="auto"/>
        <w:rPr>
          <w:rFonts w:ascii="Poppins" w:hAnsi="Poppins" w:cs="Poppins"/>
          <w:sz w:val="20"/>
          <w:szCs w:val="20"/>
        </w:rPr>
      </w:pPr>
      <w:r w:rsidRPr="00064B52">
        <w:rPr>
          <w:rFonts w:ascii="Poppins" w:hAnsi="Poppins" w:cs="Poppins"/>
          <w:sz w:val="20"/>
          <w:szCs w:val="20"/>
        </w:rPr>
        <w:t>*Consultant and clinical psychologist hourly rate includes basic salary, salary on-costs, training, admin, management, overheads, capital overheads and travel</w:t>
      </w:r>
    </w:p>
    <w:p w:rsidR="001B36EE" w:rsidRDefault="001B36EE" w14:paraId="27690DF0" w14:textId="77777777">
      <w:pPr>
        <w:rPr>
          <w:rFonts w:ascii="Poppins" w:hAnsi="Poppins" w:cs="Poppins"/>
          <w:sz w:val="20"/>
          <w:szCs w:val="20"/>
        </w:rPr>
      </w:pPr>
      <w:r>
        <w:rPr>
          <w:rFonts w:ascii="Poppins" w:hAnsi="Poppins" w:cs="Poppins"/>
          <w:sz w:val="20"/>
          <w:szCs w:val="20"/>
        </w:rPr>
        <w:br w:type="page"/>
      </w:r>
    </w:p>
    <w:p w:rsidRPr="00064B52" w:rsidR="00BE5D70" w:rsidP="001B36EE" w:rsidRDefault="00BE5D70" w14:paraId="6AEA2406" w14:textId="77777777">
      <w:pPr>
        <w:spacing w:before="120" w:line="240" w:lineRule="auto"/>
        <w:rPr>
          <w:rFonts w:ascii="Poppins" w:hAnsi="Poppins" w:cs="Poppins"/>
          <w:sz w:val="20"/>
          <w:szCs w:val="20"/>
        </w:rPr>
      </w:pPr>
    </w:p>
    <w:tbl>
      <w:tblPr>
        <w:tblStyle w:val="TableGrid"/>
        <w:tblW w:w="8869" w:type="dxa"/>
        <w:tblBorders>
          <w:top w:val="none" w:color="auto" w:sz="0" w:space="0"/>
          <w:left w:val="none" w:color="auto" w:sz="0" w:space="0"/>
          <w:bottom w:val="none" w:color="auto" w:sz="0" w:space="0"/>
          <w:right w:val="none" w:color="auto" w:sz="0" w:space="0"/>
          <w:insideH w:val="single" w:color="FFFFFF" w:themeColor="background1" w:sz="8" w:space="0"/>
          <w:insideV w:val="single" w:color="FFFFFF" w:themeColor="background1" w:sz="8" w:space="0"/>
        </w:tblBorders>
        <w:tblLook w:val="04A0" w:firstRow="1" w:lastRow="0" w:firstColumn="1" w:lastColumn="0" w:noHBand="0" w:noVBand="1"/>
      </w:tblPr>
      <w:tblGrid>
        <w:gridCol w:w="2891"/>
        <w:gridCol w:w="1494"/>
        <w:gridCol w:w="1495"/>
        <w:gridCol w:w="1494"/>
        <w:gridCol w:w="1495"/>
      </w:tblGrid>
      <w:tr w:rsidRPr="00D35624" w:rsidR="00B600C2" w:rsidTr="00667C5D" w14:paraId="4E903391" w14:textId="77777777">
        <w:trPr>
          <w:trHeight w:val="737"/>
        </w:trPr>
        <w:tc>
          <w:tcPr>
            <w:tcW w:w="2891" w:type="dxa"/>
            <w:shd w:val="clear" w:color="auto" w:fill="0096FF"/>
            <w:vAlign w:val="center"/>
          </w:tcPr>
          <w:p w:rsidRPr="00F4711F" w:rsidR="00B600C2" w:rsidP="001B36EE" w:rsidRDefault="00B600C2" w14:paraId="06F2CD77" w14:textId="460ECDC2">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Facility costs</w:t>
            </w:r>
            <w:r w:rsidR="00444A06">
              <w:rPr>
                <w:rFonts w:ascii="Poppins" w:hAnsi="Poppins" w:cs="Poppins" w:eastAsiaTheme="majorEastAsia"/>
                <w:b/>
                <w:bCs/>
                <w:color w:val="FFFFFF" w:themeColor="background1"/>
                <w:sz w:val="20"/>
                <w:szCs w:val="20"/>
              </w:rPr>
              <w:t xml:space="preserve"> </w:t>
            </w:r>
            <w:r w:rsidRPr="00444A06" w:rsidR="00444A06">
              <w:rPr>
                <w:rFonts w:ascii="Poppins" w:hAnsi="Poppins" w:cs="Poppins" w:eastAsiaTheme="majorEastAsia"/>
                <w:color w:val="FFFFFF" w:themeColor="background1"/>
                <w:sz w:val="20"/>
                <w:szCs w:val="20"/>
              </w:rPr>
              <w:t>(not including consumables)</w:t>
            </w:r>
          </w:p>
        </w:tc>
        <w:tc>
          <w:tcPr>
            <w:tcW w:w="1494" w:type="dxa"/>
            <w:shd w:val="clear" w:color="auto" w:fill="0096FF"/>
            <w:vAlign w:val="center"/>
          </w:tcPr>
          <w:p w:rsidRPr="00F4711F" w:rsidR="00B600C2" w:rsidP="001B36EE" w:rsidRDefault="001226A3" w14:paraId="616CAF5C" w14:textId="48CC300D">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Unit cost (£)</w:t>
            </w:r>
          </w:p>
        </w:tc>
        <w:tc>
          <w:tcPr>
            <w:tcW w:w="1495" w:type="dxa"/>
            <w:shd w:val="clear" w:color="auto" w:fill="0096FF"/>
            <w:vAlign w:val="center"/>
          </w:tcPr>
          <w:p w:rsidRPr="00F4711F" w:rsidR="00B600C2" w:rsidP="001B36EE" w:rsidRDefault="001226A3" w14:paraId="0776D306" w14:textId="77E86CC9">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Quantity per patient</w:t>
            </w:r>
          </w:p>
        </w:tc>
        <w:tc>
          <w:tcPr>
            <w:tcW w:w="1494" w:type="dxa"/>
            <w:shd w:val="clear" w:color="auto" w:fill="0096FF"/>
            <w:vAlign w:val="center"/>
          </w:tcPr>
          <w:p w:rsidRPr="00F4711F" w:rsidR="00B600C2" w:rsidP="001B36EE" w:rsidRDefault="001226A3" w14:paraId="748A52A3" w14:textId="1FF76D4E">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Total per patient (£)</w:t>
            </w:r>
          </w:p>
        </w:tc>
        <w:tc>
          <w:tcPr>
            <w:tcW w:w="1495" w:type="dxa"/>
            <w:shd w:val="clear" w:color="auto" w:fill="0096FF"/>
            <w:vAlign w:val="center"/>
          </w:tcPr>
          <w:p w:rsidRPr="00F4711F" w:rsidR="00B600C2" w:rsidP="001B36EE" w:rsidRDefault="003041F1" w14:paraId="452243CF" w14:textId="27BB5602">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Notes</w:t>
            </w:r>
          </w:p>
        </w:tc>
      </w:tr>
      <w:tr w:rsidRPr="00D35624" w:rsidR="001A3875" w:rsidTr="00FC020F" w14:paraId="2D9EB593" w14:textId="77777777">
        <w:trPr>
          <w:trHeight w:val="2778"/>
        </w:trPr>
        <w:tc>
          <w:tcPr>
            <w:tcW w:w="2891" w:type="dxa"/>
            <w:shd w:val="clear" w:color="auto" w:fill="A4D6EF"/>
            <w:vAlign w:val="center"/>
          </w:tcPr>
          <w:p w:rsidRPr="00407F3A" w:rsidR="001A3875" w:rsidP="001B36EE" w:rsidRDefault="001A3875" w14:paraId="4BA4A90D" w14:textId="47712016">
            <w:pPr>
              <w:jc w:val="center"/>
              <w:rPr>
                <w:rFonts w:ascii="Poppins" w:hAnsi="Poppins" w:cs="Poppins" w:eastAsiaTheme="majorEastAsia"/>
                <w:b/>
                <w:bCs/>
                <w:color w:val="0023C8"/>
                <w:sz w:val="20"/>
                <w:szCs w:val="20"/>
                <w:vertAlign w:val="superscript"/>
              </w:rPr>
            </w:pPr>
            <w:r w:rsidRPr="00F4711F">
              <w:rPr>
                <w:rFonts w:ascii="Poppins" w:hAnsi="Poppins" w:cs="Poppins" w:eastAsiaTheme="majorEastAsia"/>
                <w:b/>
                <w:bCs/>
                <w:sz w:val="20"/>
                <w:szCs w:val="20"/>
              </w:rPr>
              <w:t>Infusion chair (SB12Z)</w:t>
            </w:r>
            <w:r w:rsidR="006D77EA">
              <w:rPr>
                <w:rFonts w:ascii="Poppins" w:hAnsi="Poppins" w:cs="Poppins" w:eastAsiaTheme="majorEastAsia"/>
                <w:b/>
                <w:bCs/>
                <w:sz w:val="20"/>
                <w:szCs w:val="20"/>
              </w:rPr>
              <w:fldChar w:fldCharType="begin"/>
            </w:r>
            <w:r w:rsidR="006D77EA">
              <w:rPr>
                <w:rFonts w:ascii="Poppins" w:hAnsi="Poppins" w:cs="Poppins" w:eastAsiaTheme="majorEastAsia"/>
                <w:b/>
                <w:bCs/>
                <w:sz w:val="20"/>
                <w:szCs w:val="20"/>
              </w:rPr>
              <w:instrText xml:space="preserve"> ADDIN EN.CITE &lt;EndNote&gt;&lt;Cite&gt;&lt;Author&gt;NHS England&lt;/Author&gt;&lt;Year&gt;2026&lt;/Year&gt;&lt;RecNum&gt;31222&lt;/RecNum&gt;&lt;DisplayText&gt;&lt;style face="superscript"&gt;(NHS England, 2026)&lt;/style&gt;&lt;/DisplayText&gt;&lt;record&gt;&lt;rec-number&gt;31222&lt;/rec-number&gt;&lt;foreign-keys&gt;&lt;key app="EN" db-id="f5f5va0252p5fee95pj55es3tdereta29dxz" timestamp="1778144250"&gt;31222&lt;/key&gt;&lt;/foreign-keys&gt;&lt;ref-type name="Generic"&gt;13&lt;/ref-type&gt;&lt;contributors&gt;&lt;authors&gt;&lt;author&gt;NHS England,&lt;/author&gt;&lt;/authors&gt;&lt;/contributors&gt;&lt;titles&gt;&lt;title&gt;NHS Payment scheme 2026/27 Annex A - prices workbook&lt;/title&gt;&lt;/titles&gt;&lt;dates&gt;&lt;year&gt;2026&lt;/year&gt;&lt;/dates&gt;&lt;urls&gt;&lt;related-urls&gt;&lt;url&gt;https://www.england.nhs.uk/publication/2026-27-nhs-payment-scheme/ &lt;/url&gt;&lt;/related-urls&gt;&lt;/urls&gt;&lt;access-date&gt;May 2026&lt;/access-date&gt;&lt;/record&gt;&lt;/Cite&gt;&lt;/EndNote&gt;</w:instrText>
            </w:r>
            <w:r w:rsidR="006D77EA">
              <w:rPr>
                <w:rFonts w:ascii="Poppins" w:hAnsi="Poppins" w:cs="Poppins" w:eastAsiaTheme="majorEastAsia"/>
                <w:b/>
                <w:bCs/>
                <w:sz w:val="20"/>
                <w:szCs w:val="20"/>
              </w:rPr>
              <w:fldChar w:fldCharType="separate"/>
            </w:r>
            <w:r w:rsidRPr="006D77EA" w:rsidR="006D77EA">
              <w:rPr>
                <w:rFonts w:ascii="Poppins" w:hAnsi="Poppins" w:cs="Poppins" w:eastAsiaTheme="majorEastAsia"/>
                <w:b/>
                <w:bCs/>
                <w:noProof/>
                <w:sz w:val="20"/>
                <w:szCs w:val="20"/>
                <w:vertAlign w:val="superscript"/>
              </w:rPr>
              <w:t>(NHS England, 2026)</w:t>
            </w:r>
            <w:r w:rsidR="006D77EA">
              <w:rPr>
                <w:rFonts w:ascii="Poppins" w:hAnsi="Poppins" w:cs="Poppins" w:eastAsiaTheme="majorEastAsia"/>
                <w:b/>
                <w:bCs/>
                <w:sz w:val="20"/>
                <w:szCs w:val="20"/>
              </w:rPr>
              <w:fldChar w:fldCharType="end"/>
            </w:r>
          </w:p>
        </w:tc>
        <w:tc>
          <w:tcPr>
            <w:tcW w:w="1494" w:type="dxa"/>
            <w:shd w:val="clear" w:color="auto" w:fill="F2F2F2" w:themeFill="background1" w:themeFillShade="F2"/>
            <w:vAlign w:val="center"/>
          </w:tcPr>
          <w:p w:rsidR="001A3875" w:rsidP="001B36EE" w:rsidRDefault="00444A06" w14:paraId="7906B4F0" w14:textId="6506F606">
            <w:pPr>
              <w:jc w:val="center"/>
              <w:rPr>
                <w:rFonts w:ascii="Poppins" w:hAnsi="Poppins" w:cs="Poppins" w:eastAsiaTheme="majorEastAsia"/>
                <w:sz w:val="20"/>
                <w:szCs w:val="20"/>
              </w:rPr>
            </w:pPr>
            <w:r>
              <w:rPr>
                <w:rFonts w:ascii="Poppins" w:hAnsi="Poppins" w:cs="Poppins" w:eastAsiaTheme="majorEastAsia"/>
                <w:sz w:val="20"/>
                <w:szCs w:val="20"/>
              </w:rPr>
              <w:t>195.00</w:t>
            </w:r>
          </w:p>
        </w:tc>
        <w:tc>
          <w:tcPr>
            <w:tcW w:w="1495" w:type="dxa"/>
            <w:shd w:val="clear" w:color="auto" w:fill="F2F2F2" w:themeFill="background1" w:themeFillShade="F2"/>
            <w:vAlign w:val="center"/>
          </w:tcPr>
          <w:p w:rsidR="001A3875" w:rsidP="001B36EE" w:rsidRDefault="00E462E4" w14:paraId="11584211" w14:textId="2A629ED0">
            <w:pPr>
              <w:jc w:val="center"/>
              <w:rPr>
                <w:rFonts w:ascii="Poppins" w:hAnsi="Poppins" w:cs="Poppins" w:eastAsiaTheme="majorEastAsia"/>
                <w:sz w:val="20"/>
                <w:szCs w:val="20"/>
              </w:rPr>
            </w:pPr>
            <w:r>
              <w:rPr>
                <w:rFonts w:ascii="Poppins" w:hAnsi="Poppins" w:cs="Poppins" w:eastAsiaTheme="majorEastAsia"/>
                <w:sz w:val="20"/>
                <w:szCs w:val="20"/>
              </w:rPr>
              <w:t>14</w:t>
            </w:r>
          </w:p>
        </w:tc>
        <w:tc>
          <w:tcPr>
            <w:tcW w:w="1494" w:type="dxa"/>
            <w:shd w:val="clear" w:color="auto" w:fill="F2F2F2" w:themeFill="background1" w:themeFillShade="F2"/>
            <w:vAlign w:val="center"/>
          </w:tcPr>
          <w:p w:rsidR="001A3875" w:rsidP="001B36EE" w:rsidRDefault="00444A06" w14:paraId="01EB48CB" w14:textId="001FE592">
            <w:pPr>
              <w:jc w:val="center"/>
              <w:rPr>
                <w:rFonts w:ascii="Poppins" w:hAnsi="Poppins" w:cs="Poppins" w:eastAsiaTheme="majorEastAsia"/>
                <w:sz w:val="20"/>
                <w:szCs w:val="20"/>
              </w:rPr>
            </w:pPr>
            <w:r>
              <w:rPr>
                <w:rFonts w:ascii="Poppins" w:hAnsi="Poppins" w:cs="Poppins" w:eastAsiaTheme="majorEastAsia"/>
                <w:sz w:val="20"/>
                <w:szCs w:val="20"/>
              </w:rPr>
              <w:t>2,730.00</w:t>
            </w:r>
          </w:p>
        </w:tc>
        <w:tc>
          <w:tcPr>
            <w:tcW w:w="1495" w:type="dxa"/>
            <w:shd w:val="clear" w:color="auto" w:fill="F2F2F2" w:themeFill="background1" w:themeFillShade="F2"/>
            <w:vAlign w:val="center"/>
          </w:tcPr>
          <w:p w:rsidRPr="00B025E5" w:rsidR="00B025E5" w:rsidP="001B36EE" w:rsidRDefault="00B025E5" w14:paraId="1D47C039" w14:textId="3FCE3E70">
            <w:pPr>
              <w:jc w:val="center"/>
              <w:rPr>
                <w:rFonts w:ascii="Poppins" w:hAnsi="Poppins" w:cs="Poppins" w:eastAsiaTheme="majorEastAsia"/>
                <w:sz w:val="16"/>
                <w:szCs w:val="16"/>
              </w:rPr>
            </w:pPr>
            <w:r w:rsidRPr="00B025E5">
              <w:rPr>
                <w:rFonts w:ascii="Poppins" w:hAnsi="Poppins" w:cs="Poppins" w:eastAsiaTheme="majorEastAsia"/>
                <w:sz w:val="16"/>
                <w:szCs w:val="16"/>
              </w:rPr>
              <w:t xml:space="preserve">1 hour per infusion </w:t>
            </w:r>
            <w:proofErr w:type="gramStart"/>
            <w:r w:rsidRPr="00B025E5">
              <w:rPr>
                <w:rFonts w:ascii="Poppins" w:hAnsi="Poppins" w:cs="Poppins" w:eastAsiaTheme="majorEastAsia"/>
                <w:sz w:val="16"/>
                <w:szCs w:val="16"/>
              </w:rPr>
              <w:t>day ;</w:t>
            </w:r>
            <w:proofErr w:type="gramEnd"/>
            <w:r w:rsidRPr="00B025E5">
              <w:rPr>
                <w:rFonts w:ascii="Poppins" w:hAnsi="Poppins" w:cs="Poppins" w:eastAsiaTheme="majorEastAsia"/>
                <w:sz w:val="16"/>
                <w:szCs w:val="16"/>
              </w:rPr>
              <w:t xml:space="preserve"> Overall time of 30 minutes nurse time and 30 to 60 minutes chair time for the delivery of a</w:t>
            </w:r>
          </w:p>
          <w:p w:rsidR="001A3875" w:rsidP="001B36EE" w:rsidRDefault="00B025E5" w14:paraId="06F63011" w14:textId="64A607B2">
            <w:pPr>
              <w:jc w:val="center"/>
              <w:rPr>
                <w:rFonts w:ascii="Poppins" w:hAnsi="Poppins" w:cs="Poppins" w:eastAsiaTheme="majorEastAsia"/>
                <w:sz w:val="20"/>
                <w:szCs w:val="20"/>
              </w:rPr>
            </w:pPr>
            <w:r w:rsidRPr="00B025E5">
              <w:rPr>
                <w:rFonts w:ascii="Poppins" w:hAnsi="Poppins" w:cs="Poppins" w:eastAsiaTheme="majorEastAsia"/>
                <w:sz w:val="16"/>
                <w:szCs w:val="16"/>
              </w:rPr>
              <w:t>complete cycle (SB12Z)</w:t>
            </w:r>
          </w:p>
        </w:tc>
      </w:tr>
      <w:tr w:rsidRPr="00D35624" w:rsidR="00570A63" w:rsidTr="00FC020F" w14:paraId="0FFAA599" w14:textId="77777777">
        <w:trPr>
          <w:trHeight w:val="703"/>
        </w:trPr>
        <w:tc>
          <w:tcPr>
            <w:tcW w:w="2891" w:type="dxa"/>
            <w:shd w:val="clear" w:color="auto" w:fill="0023C8"/>
            <w:vAlign w:val="center"/>
          </w:tcPr>
          <w:p w:rsidRPr="00570A63" w:rsidR="00570A63" w:rsidP="001B36EE" w:rsidRDefault="00570A63" w14:paraId="03E753D3" w14:textId="7AD926E0">
            <w:pPr>
              <w:jc w:val="center"/>
              <w:rPr>
                <w:rFonts w:ascii="Poppins" w:hAnsi="Poppins" w:cs="Poppins" w:eastAsiaTheme="majorEastAsia"/>
                <w:b/>
                <w:bCs/>
                <w:sz w:val="20"/>
                <w:szCs w:val="20"/>
              </w:rPr>
            </w:pPr>
            <w:r w:rsidRPr="00570A63">
              <w:rPr>
                <w:rFonts w:ascii="Poppins" w:hAnsi="Poppins" w:cs="Poppins" w:eastAsiaTheme="majorEastAsia"/>
                <w:b/>
                <w:bCs/>
                <w:sz w:val="20"/>
                <w:szCs w:val="20"/>
              </w:rPr>
              <w:t xml:space="preserve">Total facility cost </w:t>
            </w:r>
            <w:r w:rsidR="00F4711F">
              <w:rPr>
                <w:rFonts w:ascii="Poppins" w:hAnsi="Poppins" w:cs="Poppins" w:eastAsiaTheme="majorEastAsia"/>
                <w:b/>
                <w:bCs/>
                <w:sz w:val="20"/>
                <w:szCs w:val="20"/>
              </w:rPr>
              <w:br/>
            </w:r>
            <w:r w:rsidRPr="00570A63">
              <w:rPr>
                <w:rFonts w:ascii="Poppins" w:hAnsi="Poppins" w:cs="Poppins" w:eastAsiaTheme="majorEastAsia"/>
                <w:b/>
                <w:bCs/>
                <w:sz w:val="20"/>
                <w:szCs w:val="20"/>
              </w:rPr>
              <w:t>per patient</w:t>
            </w:r>
          </w:p>
        </w:tc>
        <w:tc>
          <w:tcPr>
            <w:tcW w:w="5978" w:type="dxa"/>
            <w:gridSpan w:val="4"/>
            <w:shd w:val="clear" w:color="auto" w:fill="0023C8"/>
            <w:vAlign w:val="center"/>
          </w:tcPr>
          <w:p w:rsidRPr="00570A63" w:rsidR="00570A63" w:rsidP="001B36EE" w:rsidRDefault="00444A06" w14:paraId="2C59E6DE" w14:textId="127D75BD">
            <w:pPr>
              <w:jc w:val="center"/>
              <w:rPr>
                <w:rFonts w:ascii="Poppins" w:hAnsi="Poppins" w:cs="Poppins" w:eastAsiaTheme="majorEastAsia"/>
                <w:b/>
                <w:bCs/>
                <w:sz w:val="20"/>
                <w:szCs w:val="20"/>
              </w:rPr>
            </w:pPr>
            <w:r>
              <w:rPr>
                <w:rFonts w:ascii="Poppins" w:hAnsi="Poppins" w:cs="Poppins" w:eastAsiaTheme="majorEastAsia"/>
                <w:b/>
                <w:bCs/>
                <w:sz w:val="20"/>
                <w:szCs w:val="20"/>
              </w:rPr>
              <w:t>2,730.00</w:t>
            </w:r>
          </w:p>
        </w:tc>
      </w:tr>
    </w:tbl>
    <w:p w:rsidRPr="00865900" w:rsidR="00A626FD" w:rsidP="001B36EE" w:rsidRDefault="00A626FD" w14:paraId="1133EFF4" w14:textId="1AF598C7">
      <w:pPr>
        <w:spacing w:after="0" w:line="240" w:lineRule="auto"/>
        <w:rPr>
          <w:sz w:val="2"/>
          <w:szCs w:val="2"/>
        </w:rPr>
      </w:pPr>
    </w:p>
    <w:tbl>
      <w:tblPr>
        <w:tblStyle w:val="TableGrid"/>
        <w:tblW w:w="8855" w:type="dxa"/>
        <w:tblBorders>
          <w:top w:val="none" w:color="auto" w:sz="0" w:space="0"/>
          <w:left w:val="none" w:color="auto" w:sz="0" w:space="0"/>
          <w:bottom w:val="none" w:color="auto" w:sz="0" w:space="0"/>
          <w:right w:val="none" w:color="auto" w:sz="0" w:space="0"/>
          <w:insideH w:val="single" w:color="FFFFFF" w:themeColor="background1" w:sz="8" w:space="0"/>
          <w:insideV w:val="single" w:color="FFFFFF" w:themeColor="background1" w:sz="8" w:space="0"/>
        </w:tblBorders>
        <w:tblLook w:val="04A0" w:firstRow="1" w:lastRow="0" w:firstColumn="1" w:lastColumn="0" w:noHBand="0" w:noVBand="1"/>
      </w:tblPr>
      <w:tblGrid>
        <w:gridCol w:w="2888"/>
        <w:gridCol w:w="1489"/>
        <w:gridCol w:w="1490"/>
        <w:gridCol w:w="1490"/>
        <w:gridCol w:w="1492"/>
        <w:gridCol w:w="6"/>
      </w:tblGrid>
      <w:tr w:rsidRPr="00D35624" w:rsidR="00A626FD" w:rsidTr="00211CB6" w14:paraId="436A03CE" w14:textId="2EF24966">
        <w:trPr>
          <w:gridAfter w:val="1"/>
          <w:wAfter w:w="6" w:type="dxa"/>
          <w:trHeight w:val="907"/>
        </w:trPr>
        <w:tc>
          <w:tcPr>
            <w:tcW w:w="2888" w:type="dxa"/>
            <w:shd w:val="clear" w:color="auto" w:fill="0096FF"/>
            <w:vAlign w:val="center"/>
          </w:tcPr>
          <w:p w:rsidRPr="00F4711F" w:rsidR="009D06C9" w:rsidP="001B36EE" w:rsidRDefault="009D06C9" w14:paraId="50F44587" w14:textId="09CC27F8">
            <w:pPr>
              <w:jc w:val="center"/>
              <w:rPr>
                <w:rFonts w:ascii="Poppins" w:hAnsi="Poppins" w:cs="Poppins" w:eastAsiaTheme="majorEastAsia"/>
                <w:color w:val="FFFFFF" w:themeColor="background1"/>
                <w:sz w:val="20"/>
                <w:szCs w:val="20"/>
              </w:rPr>
            </w:pPr>
            <w:r w:rsidRPr="00F4711F">
              <w:rPr>
                <w:rFonts w:ascii="Poppins" w:hAnsi="Poppins" w:cs="Poppins" w:eastAsiaTheme="majorEastAsia"/>
                <w:b/>
                <w:bCs/>
                <w:color w:val="FFFFFF" w:themeColor="background1"/>
                <w:sz w:val="20"/>
                <w:szCs w:val="20"/>
              </w:rPr>
              <w:t>Pre-administration costs</w:t>
            </w:r>
          </w:p>
        </w:tc>
        <w:tc>
          <w:tcPr>
            <w:tcW w:w="1489" w:type="dxa"/>
            <w:shd w:val="clear" w:color="auto" w:fill="0096FF"/>
            <w:vAlign w:val="center"/>
          </w:tcPr>
          <w:p w:rsidRPr="00F4711F" w:rsidR="009D06C9" w:rsidP="001B36EE" w:rsidRDefault="003041F1" w14:paraId="2F968AEA" w14:textId="48D8851A">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Unit cost (£)</w:t>
            </w:r>
          </w:p>
        </w:tc>
        <w:tc>
          <w:tcPr>
            <w:tcW w:w="1490" w:type="dxa"/>
            <w:shd w:val="clear" w:color="auto" w:fill="0096FF"/>
            <w:vAlign w:val="center"/>
          </w:tcPr>
          <w:p w:rsidRPr="00F4711F" w:rsidR="009D06C9" w:rsidP="001B36EE" w:rsidRDefault="003041F1" w14:paraId="2EE8D77E" w14:textId="089B06F9">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Quantity per patient</w:t>
            </w:r>
          </w:p>
        </w:tc>
        <w:tc>
          <w:tcPr>
            <w:tcW w:w="1490" w:type="dxa"/>
            <w:shd w:val="clear" w:color="auto" w:fill="0096FF"/>
            <w:vAlign w:val="center"/>
          </w:tcPr>
          <w:p w:rsidRPr="00F4711F" w:rsidR="009D06C9" w:rsidP="001B36EE" w:rsidRDefault="003041F1" w14:paraId="3B5FDE40" w14:textId="517F278E">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Total per patient (£)</w:t>
            </w:r>
          </w:p>
        </w:tc>
        <w:tc>
          <w:tcPr>
            <w:tcW w:w="1492" w:type="dxa"/>
            <w:shd w:val="clear" w:color="auto" w:fill="0096FF"/>
            <w:vAlign w:val="center"/>
          </w:tcPr>
          <w:p w:rsidRPr="00F4711F" w:rsidR="009D06C9" w:rsidP="001B36EE" w:rsidRDefault="003041F1" w14:paraId="5157F31C" w14:textId="2A90CC71">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Notes</w:t>
            </w:r>
          </w:p>
        </w:tc>
      </w:tr>
      <w:tr w:rsidRPr="00D35624" w:rsidR="00791915" w:rsidTr="00211CB6" w14:paraId="090B13B3" w14:textId="77777777">
        <w:trPr>
          <w:gridAfter w:val="1"/>
          <w:wAfter w:w="6" w:type="dxa"/>
          <w:trHeight w:val="454"/>
        </w:trPr>
        <w:tc>
          <w:tcPr>
            <w:tcW w:w="8849" w:type="dxa"/>
            <w:gridSpan w:val="5"/>
            <w:shd w:val="clear" w:color="auto" w:fill="D9D9D9" w:themeFill="background1" w:themeFillShade="D9"/>
            <w:vAlign w:val="center"/>
          </w:tcPr>
          <w:p w:rsidRPr="00865900" w:rsidR="00791915" w:rsidP="001B36EE" w:rsidRDefault="00791915" w14:paraId="3C544C97" w14:textId="2EDB7254">
            <w:pPr>
              <w:jc w:val="center"/>
              <w:rPr>
                <w:rFonts w:ascii="Poppins" w:hAnsi="Poppins" w:cs="Poppins" w:eastAsiaTheme="majorEastAsia"/>
                <w:b/>
                <w:bCs/>
                <w:sz w:val="20"/>
                <w:szCs w:val="20"/>
              </w:rPr>
            </w:pPr>
            <w:r w:rsidRPr="00865900">
              <w:rPr>
                <w:rFonts w:ascii="Poppins" w:hAnsi="Poppins" w:cs="Poppins" w:eastAsiaTheme="majorEastAsia"/>
                <w:b/>
                <w:bCs/>
                <w:color w:val="0023C8"/>
                <w:sz w:val="20"/>
                <w:szCs w:val="20"/>
              </w:rPr>
              <w:t>Confirmatory tests</w:t>
            </w:r>
            <w:r w:rsidRPr="00865900" w:rsidR="001F1EFA">
              <w:rPr>
                <w:rFonts w:ascii="Poppins" w:hAnsi="Poppins" w:cs="Poppins" w:eastAsiaTheme="majorEastAsia"/>
                <w:b/>
                <w:bCs/>
                <w:color w:val="0023C8"/>
                <w:sz w:val="20"/>
                <w:szCs w:val="20"/>
              </w:rPr>
              <w:t xml:space="preserve"> as per SmPC</w:t>
            </w:r>
          </w:p>
        </w:tc>
      </w:tr>
      <w:tr w:rsidRPr="00D35624" w:rsidR="00F4711F" w:rsidTr="00211CB6" w14:paraId="5F469DD4" w14:textId="77777777">
        <w:trPr>
          <w:gridAfter w:val="1"/>
          <w:wAfter w:w="6" w:type="dxa"/>
          <w:trHeight w:val="1020"/>
        </w:trPr>
        <w:tc>
          <w:tcPr>
            <w:tcW w:w="2888" w:type="dxa"/>
            <w:shd w:val="clear" w:color="auto" w:fill="A4D6EF"/>
            <w:vAlign w:val="center"/>
          </w:tcPr>
          <w:p w:rsidRPr="00407F3A" w:rsidR="009D06C9" w:rsidP="001B36EE" w:rsidRDefault="006E701D" w14:paraId="76902994" w14:textId="24813CDE">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Autoantibody tests</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&lt;EndNote&gt;&lt;Cite&gt;&lt;Author&gt;Exeter Clinical Laboratory International&lt;/Author&gt;&lt;Year&gt;2026&lt;/Year&gt;&lt;RecNum&gt;31223&lt;/RecNum&gt;&lt;DisplayText&gt;&lt;style face="superscript"&gt;(Exeter Clinical Laboratory International, 2026)&lt;/style&gt;&lt;/DisplayText&gt;&lt;record&gt;&lt;rec-number&gt;31223&lt;/rec-number&gt;&lt;foreign-keys&gt;&lt;key app="EN" db-id="f5f5va0252p5fee95pj55es3tdereta29dxz" timestamp="1778144383"&gt;31223&lt;/key&gt;&lt;/foreign-keys&gt;&lt;ref-type name="Generic"&gt;13&lt;/ref-type&gt;&lt;contributors&gt;&lt;authors&gt;&lt;author&gt;Exeter Clinical Laboratory International,&lt;/author&gt;&lt;/authors&gt;&lt;/contributors&gt;&lt;titles&gt;&lt;title&gt;Glutamic Acid Decarboxylase (GAD) antibodies&lt;/title&gt;&lt;/titles&gt;&lt;dates&gt;&lt;year&gt;2026&lt;/year&gt;&lt;/dates&gt;&lt;urls&gt;&lt;related-urls&gt;&lt;url&gt;https://www.exeterlaboratory.com/test/gad%20antibodies/&lt;/url&gt;&lt;/related-urls&gt;&lt;/urls&gt;&lt;access-date&gt;May 2026&lt;/access-date&gt;&lt;/record&gt;&lt;/Cite&gt;&lt;/EndNote&gt;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(Exeter Clinical Laboratory International, 2026)</w:t>
            </w:r>
            <w:r w:rsidR="00211CB6">
              <w:rPr>
                <w:rFonts w:ascii="Poppins" w:hAnsi="Poppins" w:cs="Poppins" w:eastAsiaTheme="majorEastAsia"/>
                <w:b/>
                <w:bCs/>
                <w:sz w:val="20"/>
                <w:szCs w:val="20"/>
              </w:rPr>
              <w:fldChar w:fldCharType="end"/>
            </w:r>
            <w:r w:rsidRPr="00407F3A" w:rsidR="006D77EA">
              <w:rPr>
                <w:rFonts w:ascii="Poppins" w:hAnsi="Poppins" w:cs="Poppins" w:eastAsiaTheme="majorEastAsia"/>
                <w:b/>
                <w:bCs/>
                <w:sz w:val="20"/>
                <w:szCs w:val="20"/>
                <w:vertAlign w:val="superscript"/>
              </w:rPr>
              <w:t xml:space="preserve"> </w:t>
            </w:r>
          </w:p>
        </w:tc>
        <w:tc>
          <w:tcPr>
            <w:tcW w:w="1489" w:type="dxa"/>
            <w:shd w:val="clear" w:color="auto" w:fill="F2F2F2" w:themeFill="background1" w:themeFillShade="F2"/>
            <w:vAlign w:val="center"/>
          </w:tcPr>
          <w:p w:rsidRPr="00D35624" w:rsidR="009D06C9" w:rsidP="001B36EE" w:rsidRDefault="003041F1" w14:paraId="13980A21" w14:textId="26D6D825">
            <w:pPr>
              <w:jc w:val="center"/>
              <w:rPr>
                <w:rFonts w:ascii="Poppins" w:hAnsi="Poppins" w:cs="Poppins" w:eastAsiaTheme="majorEastAsia"/>
                <w:sz w:val="20"/>
                <w:szCs w:val="20"/>
              </w:rPr>
            </w:pPr>
            <w:r>
              <w:rPr>
                <w:rFonts w:ascii="Poppins" w:hAnsi="Poppins" w:cs="Poppins" w:eastAsiaTheme="majorEastAsia"/>
                <w:sz w:val="20"/>
                <w:szCs w:val="20"/>
              </w:rPr>
              <w:t>29.04</w:t>
            </w:r>
          </w:p>
        </w:tc>
        <w:tc>
          <w:tcPr>
            <w:tcW w:w="1490" w:type="dxa"/>
            <w:shd w:val="clear" w:color="auto" w:fill="F2F2F2" w:themeFill="background1" w:themeFillShade="F2"/>
            <w:vAlign w:val="center"/>
          </w:tcPr>
          <w:p w:rsidR="009D06C9" w:rsidP="001B36EE" w:rsidRDefault="003041F1" w14:paraId="4AC9551A" w14:textId="1B2EC3CF">
            <w:pPr>
              <w:jc w:val="center"/>
              <w:rPr>
                <w:rFonts w:ascii="Poppins" w:hAnsi="Poppins" w:cs="Poppins" w:eastAsiaTheme="majorEastAsia"/>
                <w:sz w:val="20"/>
                <w:szCs w:val="20"/>
              </w:rPr>
            </w:pPr>
            <w:r>
              <w:rPr>
                <w:rFonts w:ascii="Poppins" w:hAnsi="Poppins" w:cs="Poppins" w:eastAsiaTheme="majorEastAsia"/>
                <w:sz w:val="20"/>
                <w:szCs w:val="20"/>
              </w:rPr>
              <w:t>1</w:t>
            </w:r>
          </w:p>
        </w:tc>
        <w:tc>
          <w:tcPr>
            <w:tcW w:w="1490" w:type="dxa"/>
            <w:shd w:val="clear" w:color="auto" w:fill="F2F2F2" w:themeFill="background1" w:themeFillShade="F2"/>
            <w:vAlign w:val="center"/>
          </w:tcPr>
          <w:p w:rsidR="009D06C9" w:rsidP="001B36EE" w:rsidRDefault="003041F1" w14:paraId="28D29A5E" w14:textId="67A53E5C">
            <w:pPr>
              <w:jc w:val="center"/>
              <w:rPr>
                <w:rFonts w:ascii="Poppins" w:hAnsi="Poppins" w:cs="Poppins" w:eastAsiaTheme="majorEastAsia"/>
                <w:sz w:val="20"/>
                <w:szCs w:val="20"/>
              </w:rPr>
            </w:pPr>
            <w:r>
              <w:rPr>
                <w:rFonts w:ascii="Poppins" w:hAnsi="Poppins" w:cs="Poppins" w:eastAsiaTheme="majorEastAsia"/>
                <w:sz w:val="20"/>
                <w:szCs w:val="20"/>
              </w:rPr>
              <w:t>29.04</w:t>
            </w:r>
          </w:p>
        </w:tc>
        <w:tc>
          <w:tcPr>
            <w:tcW w:w="1492" w:type="dxa"/>
            <w:shd w:val="clear" w:color="auto" w:fill="F2F2F2" w:themeFill="background1" w:themeFillShade="F2"/>
            <w:vAlign w:val="center"/>
          </w:tcPr>
          <w:p w:rsidRPr="00960BE1" w:rsidR="009D06C9" w:rsidP="001B36EE" w:rsidRDefault="003041F1" w14:paraId="3278CC69" w14:textId="4EE9F80A">
            <w:pPr>
              <w:jc w:val="center"/>
              <w:rPr>
                <w:rFonts w:ascii="Poppins" w:hAnsi="Poppins" w:cs="Poppins" w:eastAsiaTheme="majorEastAsia"/>
                <w:sz w:val="16"/>
                <w:szCs w:val="16"/>
              </w:rPr>
            </w:pPr>
            <w:r w:rsidRPr="00960BE1">
              <w:rPr>
                <w:rFonts w:ascii="Poppins" w:hAnsi="Poppins" w:cs="Poppins" w:eastAsiaTheme="majorEastAsia"/>
                <w:sz w:val="16"/>
                <w:szCs w:val="16"/>
              </w:rPr>
              <w:t xml:space="preserve">Anti-GAD, </w:t>
            </w:r>
            <w:r w:rsidR="00FC020F">
              <w:rPr>
                <w:rFonts w:ascii="Poppins" w:hAnsi="Poppins" w:cs="Poppins" w:eastAsiaTheme="majorEastAsia"/>
                <w:sz w:val="16"/>
                <w:szCs w:val="16"/>
              </w:rPr>
              <w:br/>
            </w:r>
            <w:r w:rsidRPr="00960BE1">
              <w:rPr>
                <w:rFonts w:ascii="Poppins" w:hAnsi="Poppins" w:cs="Poppins" w:eastAsiaTheme="majorEastAsia"/>
                <w:sz w:val="16"/>
                <w:szCs w:val="16"/>
              </w:rPr>
              <w:t>anti-</w:t>
            </w:r>
            <w:r w:rsidRPr="00960BE1" w:rsidR="00960BE1">
              <w:rPr>
                <w:rFonts w:ascii="Poppins" w:hAnsi="Poppins" w:cs="Poppins" w:eastAsiaTheme="majorEastAsia"/>
                <w:sz w:val="16"/>
                <w:szCs w:val="16"/>
              </w:rPr>
              <w:t>ZnT8 and anti-IA2</w:t>
            </w:r>
          </w:p>
        </w:tc>
      </w:tr>
      <w:tr w:rsidRPr="00D35624" w:rsidR="00F4711F" w:rsidTr="00211CB6" w14:paraId="5D7B000C" w14:textId="77777777">
        <w:trPr>
          <w:gridAfter w:val="1"/>
          <w:wAfter w:w="6" w:type="dxa"/>
          <w:trHeight w:val="850"/>
        </w:trPr>
        <w:tc>
          <w:tcPr>
            <w:tcW w:w="2888" w:type="dxa"/>
            <w:shd w:val="clear" w:color="auto" w:fill="A4D6EF"/>
            <w:vAlign w:val="center"/>
          </w:tcPr>
          <w:p w:rsidRPr="00407F3A" w:rsidR="009D06C9" w:rsidP="001B36EE" w:rsidRDefault="00A1451E" w14:paraId="3321A502" w14:textId="6A90EE79">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Oral glucose tolerance test (OGTT)-glucose solution</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&lt;EndNote&gt;&lt;Cite&gt;&lt;Author&gt;NICE&lt;/Author&gt;&lt;Year&gt;2026&lt;/Year&gt;&lt;RecNum&gt;31224&lt;/RecNum&gt;&lt;DisplayText&gt;&lt;style face="superscript"&gt;(NICE, 2026b)&lt;/style&gt;&lt;/DisplayText&gt;&lt;record&gt;&lt;rec-number&gt;31224&lt;/rec-number&gt;&lt;foreign-keys&gt;&lt;key app="EN" db-id="f5f5va0252p5fee95pj55es3tdereta29dxz" timestamp="1778144464"&gt;31224&lt;/key&gt;&lt;/foreign-keys&gt;&lt;ref-type name="Generic"&gt;13&lt;/ref-type&gt;&lt;contributors&gt;&lt;authors&gt;&lt;author&gt;NICE,&lt;/author&gt;&lt;/authors&gt;&lt;/contributors&gt;&lt;titles&gt;&lt;title&gt;BNF. Glucose medicinal forms&lt;/title&gt;&lt;/titles&gt;&lt;dates&gt;&lt;year&gt;2026&lt;/year&gt;&lt;/dates&gt;&lt;urls&gt;&lt;related-urls&gt;&lt;url&gt;https://bnf.nice.org.uk/drugs/glucose/medicinal-forms/ &lt;/url&gt;&lt;/related-urls&gt;&lt;/urls&gt;&lt;access-date&gt;May 2026&lt;/access-date&gt;&lt;/record&gt;&lt;/Cite&gt;&lt;/EndNote&gt;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(NICE, 2026b)</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35624" w:rsidR="009D06C9" w:rsidP="001B36EE" w:rsidRDefault="00144756" w14:paraId="2CC41325" w14:textId="01CDC816">
            <w:pPr>
              <w:jc w:val="center"/>
              <w:rPr>
                <w:rFonts w:ascii="Poppins" w:hAnsi="Poppins" w:cs="Poppins" w:eastAsiaTheme="majorEastAsia"/>
                <w:sz w:val="20"/>
                <w:szCs w:val="20"/>
              </w:rPr>
            </w:pPr>
            <w:r>
              <w:rPr>
                <w:rFonts w:ascii="Poppins" w:hAnsi="Poppins" w:cs="Poppins" w:eastAsiaTheme="majorEastAsia"/>
                <w:sz w:val="20"/>
                <w:szCs w:val="20"/>
              </w:rPr>
              <w:t>3.98</w:t>
            </w:r>
          </w:p>
        </w:tc>
        <w:tc>
          <w:tcPr>
            <w:tcW w:w="1490" w:type="dxa"/>
            <w:shd w:val="clear" w:color="auto" w:fill="F2F2F2" w:themeFill="background1" w:themeFillShade="F2"/>
            <w:vAlign w:val="center"/>
          </w:tcPr>
          <w:p w:rsidR="009D06C9" w:rsidP="001B36EE" w:rsidRDefault="00144756" w14:paraId="791F4EFA" w14:textId="4E819329">
            <w:pPr>
              <w:jc w:val="center"/>
              <w:rPr>
                <w:rFonts w:ascii="Poppins" w:hAnsi="Poppins" w:cs="Poppins" w:eastAsiaTheme="majorEastAsia"/>
                <w:sz w:val="20"/>
                <w:szCs w:val="20"/>
              </w:rPr>
            </w:pPr>
            <w:r>
              <w:rPr>
                <w:rFonts w:ascii="Poppins" w:hAnsi="Poppins" w:cs="Poppins" w:eastAsiaTheme="majorEastAsia"/>
                <w:sz w:val="20"/>
                <w:szCs w:val="20"/>
              </w:rPr>
              <w:t>1</w:t>
            </w:r>
          </w:p>
        </w:tc>
        <w:tc>
          <w:tcPr>
            <w:tcW w:w="1490" w:type="dxa"/>
            <w:shd w:val="clear" w:color="auto" w:fill="F2F2F2" w:themeFill="background1" w:themeFillShade="F2"/>
            <w:vAlign w:val="center"/>
          </w:tcPr>
          <w:p w:rsidR="009D06C9" w:rsidP="001B36EE" w:rsidRDefault="00144756" w14:paraId="4125B32C" w14:textId="07BC4F1B">
            <w:pPr>
              <w:jc w:val="center"/>
              <w:rPr>
                <w:rFonts w:ascii="Poppins" w:hAnsi="Poppins" w:cs="Poppins" w:eastAsiaTheme="majorEastAsia"/>
                <w:sz w:val="20"/>
                <w:szCs w:val="20"/>
              </w:rPr>
            </w:pPr>
            <w:r>
              <w:rPr>
                <w:rFonts w:ascii="Poppins" w:hAnsi="Poppins" w:cs="Poppins" w:eastAsiaTheme="majorEastAsia"/>
                <w:sz w:val="20"/>
                <w:szCs w:val="20"/>
              </w:rPr>
              <w:t>3.98</w:t>
            </w:r>
          </w:p>
        </w:tc>
        <w:tc>
          <w:tcPr>
            <w:tcW w:w="1492" w:type="dxa"/>
            <w:shd w:val="clear" w:color="auto" w:fill="F2F2F2" w:themeFill="background1" w:themeFillShade="F2"/>
            <w:vAlign w:val="center"/>
          </w:tcPr>
          <w:p w:rsidRPr="00D35624" w:rsidR="009D06C9" w:rsidP="001B36EE" w:rsidRDefault="009D06C9" w14:paraId="5E577D9E" w14:textId="77777777">
            <w:pPr>
              <w:jc w:val="center"/>
              <w:rPr>
                <w:rFonts w:ascii="Poppins" w:hAnsi="Poppins" w:cs="Poppins" w:eastAsiaTheme="majorEastAsia"/>
                <w:sz w:val="20"/>
                <w:szCs w:val="20"/>
              </w:rPr>
            </w:pPr>
          </w:p>
        </w:tc>
      </w:tr>
      <w:tr w:rsidRPr="00D35624" w:rsidR="00A626FD" w:rsidTr="00211CB6" w14:paraId="0DD16ECC" w14:textId="77777777">
        <w:trPr>
          <w:gridAfter w:val="1"/>
          <w:wAfter w:w="6" w:type="dxa"/>
          <w:trHeight w:val="850"/>
        </w:trPr>
        <w:tc>
          <w:tcPr>
            <w:tcW w:w="2888" w:type="dxa"/>
            <w:tcBorders>
              <w:bottom w:val="single" w:color="FFFFFF" w:themeColor="background1" w:sz="8" w:space="0"/>
            </w:tcBorders>
            <w:shd w:val="clear" w:color="auto" w:fill="A4D6EF"/>
            <w:vAlign w:val="center"/>
          </w:tcPr>
          <w:p w:rsidRPr="00407F3A" w:rsidR="009D06C9" w:rsidP="001B36EE" w:rsidRDefault="00A1451E" w14:paraId="52BDAA8B" w14:textId="07C74F49">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Oral glucose tolerance test (OGTT)-</w:t>
            </w:r>
            <w:r w:rsidRPr="00865900" w:rsidR="00A911D1">
              <w:rPr>
                <w:rFonts w:ascii="Poppins" w:hAnsi="Poppins" w:cs="Poppins" w:eastAsiaTheme="majorEastAsia"/>
                <w:b/>
                <w:bCs/>
                <w:sz w:val="20"/>
                <w:szCs w:val="20"/>
              </w:rPr>
              <w:t>tests</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&lt;EndNote&gt;&lt;Cite&gt;&lt;Author&gt;NICE&lt;/Author&gt;&lt;Year&gt;2025&lt;/Year&gt;&lt;RecNum&gt;31219&lt;/RecNum&gt;&lt;DisplayText&gt;&lt;style face="superscript"&gt;(NICE, 2025b)&lt;/style&gt;&lt;/DisplayText&gt;&lt;record&gt;&lt;rec-number&gt;31219&lt;/rec-number&gt;&lt;foreign-keys&gt;&lt;key app="EN" db-id="f5f5va0252p5fee95pj55es3tdereta29dxz" timestamp="1778080745"&gt;31219&lt;/key&gt;&lt;/foreign-keys&gt;&lt;ref-type name="Generic"&gt;13&lt;/ref-type&gt;&lt;contributors&gt;&lt;authors&gt;&lt;author&gt;NICE, &lt;/author&gt;&lt;/authors&gt;&lt;/contributors&gt;&lt;titles&gt;&lt;title&gt;Single technology appraisal. Teplizumab for delaying the onset of stage 3 type 1 diabetes in people 8 years and over with stage 2 type 1 diabetes [ID6259] Committee Papers &lt;/title&gt;&lt;/titles&gt;&lt;dates&gt;&lt;year&gt;2025&lt;/year&gt;&lt;/dates&gt;&lt;urls&gt;&lt;related-urls&gt;&lt;url&gt;https://www.nice.org.uk/guidance/gid-ta10981/documents/committee-papers&lt;/url&gt;&lt;/related-urls&gt;&lt;/urls&gt;&lt;access-date&gt;May 2026&lt;/access-date&gt;&lt;/record&gt;&lt;/Cite&gt;&lt;/EndNote&gt;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(NICE, 2025b)</w:t>
            </w:r>
            <w:r w:rsidR="00211CB6">
              <w:rPr>
                <w:rFonts w:ascii="Poppins" w:hAnsi="Poppins" w:cs="Poppins" w:eastAsiaTheme="majorEastAsia"/>
                <w:b/>
                <w:bCs/>
                <w:sz w:val="20"/>
                <w:szCs w:val="20"/>
              </w:rPr>
              <w:fldChar w:fldCharType="end"/>
            </w:r>
          </w:p>
        </w:tc>
        <w:tc>
          <w:tcPr>
            <w:tcW w:w="1489" w:type="dxa"/>
            <w:tcBorders>
              <w:bottom w:val="single" w:color="FFFFFF" w:themeColor="background1" w:sz="8" w:space="0"/>
            </w:tcBorders>
            <w:shd w:val="clear" w:color="auto" w:fill="F2F2F2" w:themeFill="background1" w:themeFillShade="F2"/>
            <w:vAlign w:val="center"/>
          </w:tcPr>
          <w:p w:rsidRPr="00D35624" w:rsidR="009D06C9" w:rsidP="001B36EE" w:rsidRDefault="005577BF" w14:paraId="51447CB3" w14:textId="08BAACC2">
            <w:pPr>
              <w:jc w:val="center"/>
              <w:rPr>
                <w:rFonts w:ascii="Poppins" w:hAnsi="Poppins" w:cs="Poppins" w:eastAsiaTheme="majorEastAsia"/>
                <w:sz w:val="20"/>
                <w:szCs w:val="20"/>
              </w:rPr>
            </w:pPr>
            <w:r>
              <w:rPr>
                <w:rFonts w:ascii="Poppins" w:hAnsi="Poppins" w:cs="Poppins" w:eastAsiaTheme="majorEastAsia"/>
                <w:sz w:val="20"/>
                <w:szCs w:val="20"/>
              </w:rPr>
              <w:t>7</w:t>
            </w:r>
            <w:r w:rsidR="003431BD">
              <w:rPr>
                <w:rFonts w:ascii="Poppins" w:hAnsi="Poppins" w:cs="Poppins" w:eastAsiaTheme="majorEastAsia"/>
                <w:sz w:val="20"/>
                <w:szCs w:val="20"/>
              </w:rPr>
              <w:t>.</w:t>
            </w:r>
            <w:r>
              <w:rPr>
                <w:rFonts w:ascii="Poppins" w:hAnsi="Poppins" w:cs="Poppins" w:eastAsiaTheme="majorEastAsia"/>
                <w:sz w:val="20"/>
                <w:szCs w:val="20"/>
              </w:rPr>
              <w:t>85</w:t>
            </w:r>
          </w:p>
        </w:tc>
        <w:tc>
          <w:tcPr>
            <w:tcW w:w="1490" w:type="dxa"/>
            <w:tcBorders>
              <w:bottom w:val="single" w:color="FFFFFF" w:themeColor="background1" w:sz="8" w:space="0"/>
            </w:tcBorders>
            <w:shd w:val="clear" w:color="auto" w:fill="F2F2F2" w:themeFill="background1" w:themeFillShade="F2"/>
            <w:vAlign w:val="center"/>
          </w:tcPr>
          <w:p w:rsidR="009D06C9" w:rsidP="001B36EE" w:rsidRDefault="005577BF" w14:paraId="4B70AF93" w14:textId="10E7DA2A">
            <w:pPr>
              <w:jc w:val="center"/>
              <w:rPr>
                <w:rFonts w:ascii="Poppins" w:hAnsi="Poppins" w:cs="Poppins" w:eastAsiaTheme="majorEastAsia"/>
                <w:sz w:val="20"/>
                <w:szCs w:val="20"/>
              </w:rPr>
            </w:pPr>
            <w:r>
              <w:rPr>
                <w:rFonts w:ascii="Poppins" w:hAnsi="Poppins" w:cs="Poppins" w:eastAsiaTheme="majorEastAsia"/>
                <w:sz w:val="20"/>
                <w:szCs w:val="20"/>
              </w:rPr>
              <w:t>5</w:t>
            </w:r>
          </w:p>
        </w:tc>
        <w:tc>
          <w:tcPr>
            <w:tcW w:w="1490" w:type="dxa"/>
            <w:tcBorders>
              <w:bottom w:val="single" w:color="FFFFFF" w:themeColor="background1" w:sz="8" w:space="0"/>
            </w:tcBorders>
            <w:shd w:val="clear" w:color="auto" w:fill="F2F2F2" w:themeFill="background1" w:themeFillShade="F2"/>
            <w:vAlign w:val="center"/>
          </w:tcPr>
          <w:p w:rsidR="009D06C9" w:rsidP="001B36EE" w:rsidRDefault="005577BF" w14:paraId="3D0C7E5B" w14:textId="3DB2BF54">
            <w:pPr>
              <w:jc w:val="center"/>
              <w:rPr>
                <w:rFonts w:ascii="Poppins" w:hAnsi="Poppins" w:cs="Poppins" w:eastAsiaTheme="majorEastAsia"/>
                <w:sz w:val="20"/>
                <w:szCs w:val="20"/>
              </w:rPr>
            </w:pPr>
            <w:r>
              <w:rPr>
                <w:rFonts w:ascii="Poppins" w:hAnsi="Poppins" w:cs="Poppins" w:eastAsiaTheme="majorEastAsia"/>
                <w:sz w:val="20"/>
                <w:szCs w:val="20"/>
              </w:rPr>
              <w:t>39</w:t>
            </w:r>
            <w:r w:rsidR="003431BD">
              <w:rPr>
                <w:rFonts w:ascii="Poppins" w:hAnsi="Poppins" w:cs="Poppins" w:eastAsiaTheme="majorEastAsia"/>
                <w:sz w:val="20"/>
                <w:szCs w:val="20"/>
              </w:rPr>
              <w:t>.</w:t>
            </w:r>
            <w:r>
              <w:rPr>
                <w:rFonts w:ascii="Poppins" w:hAnsi="Poppins" w:cs="Poppins" w:eastAsiaTheme="majorEastAsia"/>
                <w:sz w:val="20"/>
                <w:szCs w:val="20"/>
              </w:rPr>
              <w:t>25</w:t>
            </w:r>
          </w:p>
        </w:tc>
        <w:tc>
          <w:tcPr>
            <w:tcW w:w="1492" w:type="dxa"/>
            <w:tcBorders>
              <w:bottom w:val="single" w:color="FFFFFF" w:themeColor="background1" w:sz="8" w:space="0"/>
            </w:tcBorders>
            <w:shd w:val="clear" w:color="auto" w:fill="F2F2F2" w:themeFill="background1" w:themeFillShade="F2"/>
            <w:vAlign w:val="center"/>
          </w:tcPr>
          <w:p w:rsidRPr="00D35624" w:rsidR="009D06C9" w:rsidP="001B36EE" w:rsidRDefault="009D06C9" w14:paraId="23584EBD" w14:textId="0D62E172">
            <w:pPr>
              <w:jc w:val="center"/>
              <w:rPr>
                <w:rFonts w:ascii="Poppins" w:hAnsi="Poppins" w:cs="Poppins" w:eastAsiaTheme="majorEastAsia"/>
                <w:sz w:val="20"/>
                <w:szCs w:val="20"/>
              </w:rPr>
            </w:pPr>
          </w:p>
        </w:tc>
      </w:tr>
      <w:tr w:rsidRPr="00D35624" w:rsidR="00F4711F" w:rsidTr="00211CB6" w14:paraId="6B33A36C" w14:textId="77777777">
        <w:trPr>
          <w:gridAfter w:val="1"/>
          <w:wAfter w:w="6" w:type="dxa"/>
          <w:trHeight w:val="794"/>
        </w:trPr>
        <w:tc>
          <w:tcPr>
            <w:tcW w:w="2888" w:type="dxa"/>
            <w:tcBorders>
              <w:top w:val="single" w:color="FFFFFF" w:themeColor="background1" w:sz="8" w:space="0"/>
              <w:bottom w:val="single" w:color="FFFFFF" w:themeColor="background1" w:sz="48" w:space="0"/>
            </w:tcBorders>
            <w:shd w:val="clear" w:color="auto" w:fill="0023C8"/>
            <w:vAlign w:val="center"/>
          </w:tcPr>
          <w:p w:rsidRPr="00865900" w:rsidR="0029595E" w:rsidP="001B36EE" w:rsidRDefault="0029595E" w14:paraId="7AB107C2" w14:textId="7F9F003B">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Total confirmatory tests costs</w:t>
            </w:r>
            <w:r w:rsidRPr="00865900" w:rsidR="00440E08">
              <w:rPr>
                <w:rFonts w:ascii="Poppins" w:hAnsi="Poppins" w:cs="Poppins" w:eastAsiaTheme="majorEastAsia"/>
                <w:b/>
                <w:bCs/>
                <w:color w:val="FFFFFF" w:themeColor="background1"/>
                <w:sz w:val="20"/>
                <w:szCs w:val="20"/>
              </w:rPr>
              <w:t xml:space="preserve"> per patient</w:t>
            </w:r>
          </w:p>
        </w:tc>
        <w:tc>
          <w:tcPr>
            <w:tcW w:w="5961" w:type="dxa"/>
            <w:gridSpan w:val="4"/>
            <w:tcBorders>
              <w:top w:val="single" w:color="FFFFFF" w:themeColor="background1" w:sz="8" w:space="0"/>
              <w:bottom w:val="single" w:color="FFFFFF" w:themeColor="background1" w:sz="48" w:space="0"/>
            </w:tcBorders>
            <w:shd w:val="clear" w:color="auto" w:fill="0023C8"/>
            <w:vAlign w:val="center"/>
          </w:tcPr>
          <w:p w:rsidRPr="00865900" w:rsidR="0029595E" w:rsidP="001B36EE" w:rsidRDefault="003431BD" w14:paraId="629AE442" w14:textId="35D751A5">
            <w:pPr>
              <w:jc w:val="center"/>
              <w:rPr>
                <w:rFonts w:ascii="Poppins" w:hAnsi="Poppins" w:cs="Poppins" w:eastAsiaTheme="majorEastAsia"/>
                <w:b/>
                <w:bCs/>
                <w:color w:val="FFFFFF" w:themeColor="background1"/>
                <w:sz w:val="20"/>
                <w:szCs w:val="20"/>
              </w:rPr>
            </w:pPr>
            <w:r>
              <w:rPr>
                <w:rFonts w:ascii="Poppins" w:hAnsi="Poppins" w:cs="Poppins" w:eastAsiaTheme="majorEastAsia"/>
                <w:b/>
                <w:bCs/>
                <w:color w:val="FFFFFF" w:themeColor="background1"/>
                <w:sz w:val="20"/>
                <w:szCs w:val="20"/>
              </w:rPr>
              <w:t>35.02</w:t>
            </w:r>
          </w:p>
        </w:tc>
      </w:tr>
      <w:tr w:rsidRPr="00D35624" w:rsidR="00667C5D" w:rsidTr="00211CB6" w14:paraId="67AE2BFF" w14:textId="77777777">
        <w:trPr>
          <w:trHeight w:val="794"/>
        </w:trPr>
        <w:tc>
          <w:tcPr>
            <w:tcW w:w="2888" w:type="dxa"/>
            <w:shd w:val="clear" w:color="auto" w:fill="0096FF"/>
            <w:vAlign w:val="center"/>
          </w:tcPr>
          <w:p w:rsidRPr="00865900" w:rsidR="00667C5D" w:rsidP="001B36EE" w:rsidRDefault="00667C5D" w14:paraId="28545CA9" w14:textId="49F4BCDC">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Pre-administration costs</w:t>
            </w:r>
          </w:p>
        </w:tc>
        <w:tc>
          <w:tcPr>
            <w:tcW w:w="1489" w:type="dxa"/>
            <w:shd w:val="clear" w:color="auto" w:fill="0096FF"/>
            <w:vAlign w:val="center"/>
          </w:tcPr>
          <w:p w:rsidRPr="00865900" w:rsidR="00667C5D" w:rsidP="001B36EE" w:rsidRDefault="00667C5D" w14:paraId="477388D3" w14:textId="4CFE2F85">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Unit cost (£)</w:t>
            </w:r>
          </w:p>
        </w:tc>
        <w:tc>
          <w:tcPr>
            <w:tcW w:w="1490" w:type="dxa"/>
            <w:shd w:val="clear" w:color="auto" w:fill="0096FF"/>
            <w:vAlign w:val="center"/>
          </w:tcPr>
          <w:p w:rsidRPr="00865900" w:rsidR="00667C5D" w:rsidP="001B36EE" w:rsidRDefault="00667C5D" w14:paraId="2A8F477B" w14:textId="4E71D4DC">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Quantity per patient</w:t>
            </w:r>
          </w:p>
        </w:tc>
        <w:tc>
          <w:tcPr>
            <w:tcW w:w="1490" w:type="dxa"/>
            <w:shd w:val="clear" w:color="auto" w:fill="0096FF"/>
            <w:vAlign w:val="center"/>
          </w:tcPr>
          <w:p w:rsidRPr="00865900" w:rsidR="00667C5D" w:rsidP="001B36EE" w:rsidRDefault="00667C5D" w14:paraId="3654E0CB" w14:textId="7FFFEA10">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Total per patient (£)</w:t>
            </w:r>
          </w:p>
        </w:tc>
        <w:tc>
          <w:tcPr>
            <w:tcW w:w="1498" w:type="dxa"/>
            <w:gridSpan w:val="2"/>
            <w:shd w:val="clear" w:color="auto" w:fill="0096FF"/>
            <w:vAlign w:val="center"/>
          </w:tcPr>
          <w:p w:rsidRPr="00865900" w:rsidR="00667C5D" w:rsidP="001B36EE" w:rsidRDefault="00667C5D" w14:paraId="1CFB1700" w14:textId="17C36878">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Notes</w:t>
            </w:r>
          </w:p>
        </w:tc>
      </w:tr>
      <w:tr w:rsidRPr="00D35624" w:rsidR="00667C5D" w:rsidTr="00667C5D" w14:paraId="0AC0939F" w14:textId="77777777">
        <w:trPr>
          <w:gridAfter w:val="1"/>
          <w:wAfter w:w="6" w:type="dxa"/>
          <w:trHeight w:val="454"/>
        </w:trPr>
        <w:tc>
          <w:tcPr>
            <w:tcW w:w="8849" w:type="dxa"/>
            <w:gridSpan w:val="5"/>
            <w:shd w:val="clear" w:color="auto" w:fill="D9D9D9" w:themeFill="background1" w:themeFillShade="D9"/>
            <w:vAlign w:val="center"/>
          </w:tcPr>
          <w:p w:rsidRPr="00865900" w:rsidR="008A3492" w:rsidP="001B36EE" w:rsidRDefault="008A3492" w14:paraId="6933FEBD" w14:textId="4C7404C1">
            <w:pPr>
              <w:jc w:val="center"/>
              <w:rPr>
                <w:rFonts w:ascii="Poppins" w:hAnsi="Poppins" w:cs="Poppins" w:eastAsiaTheme="majorEastAsia"/>
                <w:b/>
                <w:bCs/>
                <w:sz w:val="20"/>
                <w:szCs w:val="20"/>
              </w:rPr>
            </w:pPr>
            <w:r w:rsidRPr="00865900">
              <w:rPr>
                <w:rFonts w:ascii="Poppins" w:hAnsi="Poppins" w:cs="Poppins" w:eastAsiaTheme="majorEastAsia"/>
                <w:b/>
                <w:bCs/>
                <w:color w:val="0023C8"/>
                <w:sz w:val="20"/>
                <w:szCs w:val="20"/>
              </w:rPr>
              <w:t>Pre-medication</w:t>
            </w:r>
            <w:r w:rsidR="00516617">
              <w:rPr>
                <w:rFonts w:ascii="Poppins" w:hAnsi="Poppins" w:cs="Poppins" w:eastAsiaTheme="majorEastAsia"/>
                <w:b/>
                <w:bCs/>
                <w:color w:val="0023C8"/>
                <w:sz w:val="20"/>
                <w:szCs w:val="20"/>
              </w:rPr>
              <w:t xml:space="preserve"> (dose will need adjusting for paediatric patients)</w:t>
            </w:r>
          </w:p>
        </w:tc>
      </w:tr>
      <w:tr w:rsidRPr="00D35624" w:rsidR="00A626FD" w:rsidTr="00211CB6" w14:paraId="52CBBD2A" w14:textId="77777777">
        <w:trPr>
          <w:gridAfter w:val="1"/>
          <w:wAfter w:w="6" w:type="dxa"/>
          <w:trHeight w:val="1814"/>
        </w:trPr>
        <w:tc>
          <w:tcPr>
            <w:tcW w:w="2888" w:type="dxa"/>
            <w:shd w:val="clear" w:color="auto" w:fill="A4D6EF"/>
            <w:vAlign w:val="center"/>
          </w:tcPr>
          <w:p w:rsidRPr="00407F3A" w:rsidR="009E34B6" w:rsidP="001B36EE" w:rsidRDefault="001F1EFA" w14:paraId="3FDBEA33" w14:textId="646B2FB8">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NSAID</w:t>
            </w:r>
            <w:r w:rsidRPr="00865900" w:rsidR="00DB2D44">
              <w:rPr>
                <w:rFonts w:ascii="Poppins" w:hAnsi="Poppins" w:cs="Poppins" w:eastAsiaTheme="majorEastAsia"/>
                <w:b/>
                <w:bCs/>
                <w:sz w:val="20"/>
                <w:szCs w:val="20"/>
              </w:rPr>
              <w:t xml:space="preserve"> or </w:t>
            </w:r>
            <w:r w:rsidR="00FC020F">
              <w:rPr>
                <w:rFonts w:ascii="Poppins" w:hAnsi="Poppins" w:cs="Poppins" w:eastAsiaTheme="majorEastAsia"/>
                <w:b/>
                <w:bCs/>
                <w:sz w:val="20"/>
                <w:szCs w:val="20"/>
              </w:rPr>
              <w:br/>
            </w:r>
            <w:r w:rsidRPr="00865900" w:rsidR="00DB2D44">
              <w:rPr>
                <w:rFonts w:ascii="Poppins" w:hAnsi="Poppins" w:cs="Poppins" w:eastAsiaTheme="majorEastAsia"/>
                <w:b/>
                <w:bCs/>
                <w:sz w:val="20"/>
                <w:szCs w:val="20"/>
              </w:rPr>
              <w:t>acetaminophen</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&lt;EndNote&gt;&lt;Cite&gt;&lt;Author&gt;NICE&lt;/Author&gt;&lt;Year&gt;2026&lt;/Year&gt;&lt;RecNum&gt;31225&lt;/RecNum&gt;&lt;DisplayText&gt;&lt;style face="superscript"&gt;(NICE, 2026c)&lt;/style&gt;&lt;/DisplayText&gt;&lt;record&gt;&lt;rec-number&gt;31225&lt;/rec-number&gt;&lt;foreign-keys&gt;&lt;key app="EN" db-id="f5f5va0252p5fee95pj55es3tdereta29dxz" timestamp="1778144609"&gt;31225&lt;/key&gt;&lt;/foreign-keys&gt;&lt;ref-type name="Generic"&gt;13&lt;/ref-type&gt;&lt;contributors&gt;&lt;authors&gt;&lt;author&gt;NICE,&lt;/author&gt;&lt;/authors&gt;&lt;/contributors&gt;&lt;titles&gt;&lt;title&gt;BNF. Ibuprofen medicinal forms&lt;/title&gt;&lt;/titles&gt;&lt;dates&gt;&lt;year&gt;2026&lt;/year&gt;&lt;/dates&gt;&lt;urls&gt;&lt;related-urls&gt;&lt;url&gt;https://bnf.nice.org.uk/drugs/ibuprofen/medicinal-forms/&lt;/url&gt;&lt;/related-urls&gt;&lt;/urls&gt;&lt;access-date&gt;May 2026&lt;/access-date&gt;&lt;/record&gt;&lt;/Cite&gt;&lt;/EndNote&gt;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(NICE, 2026c)</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B2D44" w:rsidR="009E34B6" w:rsidP="001B36EE" w:rsidRDefault="00220E34" w14:paraId="72B4859C" w14:textId="37D50673">
            <w:pPr>
              <w:jc w:val="center"/>
              <w:rPr>
                <w:rFonts w:ascii="Poppins" w:hAnsi="Poppins" w:cs="Poppins" w:eastAsiaTheme="majorEastAsia"/>
                <w:sz w:val="20"/>
                <w:szCs w:val="20"/>
              </w:rPr>
            </w:pPr>
            <w:r>
              <w:rPr>
                <w:rFonts w:ascii="Poppins" w:hAnsi="Poppins" w:cs="Poppins" w:eastAsiaTheme="majorEastAsia"/>
                <w:sz w:val="20"/>
                <w:szCs w:val="20"/>
              </w:rPr>
              <w:t>0.0</w:t>
            </w:r>
            <w:r w:rsidR="003431BD">
              <w:rPr>
                <w:rFonts w:ascii="Poppins" w:hAnsi="Poppins" w:cs="Poppins" w:eastAsiaTheme="majorEastAsia"/>
                <w:sz w:val="20"/>
                <w:szCs w:val="20"/>
              </w:rPr>
              <w:t>3</w:t>
            </w:r>
          </w:p>
        </w:tc>
        <w:tc>
          <w:tcPr>
            <w:tcW w:w="1490" w:type="dxa"/>
            <w:shd w:val="clear" w:color="auto" w:fill="F2F2F2" w:themeFill="background1" w:themeFillShade="F2"/>
            <w:vAlign w:val="center"/>
          </w:tcPr>
          <w:p w:rsidRPr="00DB2D44" w:rsidR="009E34B6" w:rsidP="001B36EE" w:rsidRDefault="00220E34" w14:paraId="12769EC5" w14:textId="0B4E6B23">
            <w:pPr>
              <w:jc w:val="center"/>
              <w:rPr>
                <w:rFonts w:ascii="Poppins" w:hAnsi="Poppins" w:cs="Poppins" w:eastAsiaTheme="majorEastAsia"/>
                <w:sz w:val="20"/>
                <w:szCs w:val="20"/>
              </w:rPr>
            </w:pPr>
            <w:r>
              <w:rPr>
                <w:rFonts w:ascii="Poppins" w:hAnsi="Poppins" w:cs="Poppins" w:eastAsiaTheme="majorEastAsia"/>
                <w:sz w:val="20"/>
                <w:szCs w:val="20"/>
              </w:rPr>
              <w:t>1</w:t>
            </w:r>
            <w:r w:rsidR="004F0BA6">
              <w:rPr>
                <w:rFonts w:ascii="Poppins" w:hAnsi="Poppins" w:cs="Poppins" w:eastAsiaTheme="majorEastAsia"/>
                <w:sz w:val="20"/>
                <w:szCs w:val="20"/>
              </w:rPr>
              <w:t>4</w:t>
            </w:r>
          </w:p>
        </w:tc>
        <w:tc>
          <w:tcPr>
            <w:tcW w:w="1490" w:type="dxa"/>
            <w:shd w:val="clear" w:color="auto" w:fill="F2F2F2" w:themeFill="background1" w:themeFillShade="F2"/>
            <w:vAlign w:val="center"/>
          </w:tcPr>
          <w:p w:rsidRPr="00DB2D44" w:rsidR="009E34B6" w:rsidP="001B36EE" w:rsidRDefault="004F0BA6" w14:paraId="6BB5B106" w14:textId="267849F5">
            <w:pPr>
              <w:jc w:val="center"/>
              <w:rPr>
                <w:rFonts w:ascii="Poppins" w:hAnsi="Poppins" w:cs="Poppins" w:eastAsiaTheme="majorEastAsia"/>
                <w:sz w:val="20"/>
                <w:szCs w:val="20"/>
              </w:rPr>
            </w:pPr>
            <w:r>
              <w:rPr>
                <w:rFonts w:ascii="Poppins" w:hAnsi="Poppins" w:cs="Poppins" w:eastAsiaTheme="majorEastAsia"/>
                <w:sz w:val="20"/>
                <w:szCs w:val="20"/>
              </w:rPr>
              <w:t>0</w:t>
            </w:r>
            <w:r w:rsidR="003431BD">
              <w:rPr>
                <w:rFonts w:ascii="Poppins" w:hAnsi="Poppins" w:cs="Poppins" w:eastAsiaTheme="majorEastAsia"/>
                <w:sz w:val="20"/>
                <w:szCs w:val="20"/>
              </w:rPr>
              <w:t>.42</w:t>
            </w:r>
          </w:p>
        </w:tc>
        <w:tc>
          <w:tcPr>
            <w:tcW w:w="1492" w:type="dxa"/>
            <w:shd w:val="clear" w:color="auto" w:fill="F2F2F2" w:themeFill="background1" w:themeFillShade="F2"/>
            <w:vAlign w:val="center"/>
          </w:tcPr>
          <w:p w:rsidRPr="00220E34" w:rsidR="009E34B6" w:rsidP="001B36EE" w:rsidRDefault="00491743" w14:paraId="6C21411C" w14:textId="0A902ED9">
            <w:pPr>
              <w:jc w:val="center"/>
              <w:rPr>
                <w:rFonts w:ascii="Poppins" w:hAnsi="Poppins" w:cs="Poppins" w:eastAsiaTheme="majorEastAsia"/>
                <w:sz w:val="16"/>
                <w:szCs w:val="16"/>
              </w:rPr>
            </w:pPr>
            <w:proofErr w:type="spellStart"/>
            <w:r w:rsidRPr="00491743">
              <w:rPr>
                <w:rFonts w:ascii="Poppins" w:hAnsi="Poppins" w:cs="Poppins" w:eastAsiaTheme="majorEastAsia"/>
                <w:sz w:val="16"/>
                <w:szCs w:val="16"/>
              </w:rPr>
              <w:t>e</w:t>
            </w:r>
            <w:r>
              <w:rPr>
                <w:rFonts w:ascii="Poppins" w:hAnsi="Poppins" w:cs="Poppins" w:eastAsiaTheme="majorEastAsia"/>
                <w:sz w:val="16"/>
                <w:szCs w:val="16"/>
              </w:rPr>
              <w:t>.</w:t>
            </w:r>
            <w:r w:rsidRPr="00491743">
              <w:rPr>
                <w:rFonts w:ascii="Poppins" w:hAnsi="Poppins" w:cs="Poppins" w:eastAsiaTheme="majorEastAsia"/>
                <w:sz w:val="16"/>
                <w:szCs w:val="16"/>
              </w:rPr>
              <w:t>g</w:t>
            </w:r>
            <w:proofErr w:type="spellEnd"/>
            <w:r>
              <w:rPr>
                <w:rFonts w:ascii="Poppins" w:hAnsi="Poppins" w:cs="Poppins" w:eastAsiaTheme="majorEastAsia"/>
                <w:sz w:val="16"/>
                <w:szCs w:val="16"/>
              </w:rPr>
              <w:t>,</w:t>
            </w:r>
            <w:r w:rsidRPr="00491743">
              <w:rPr>
                <w:rFonts w:ascii="Poppins" w:hAnsi="Poppins" w:cs="Poppins" w:eastAsiaTheme="majorEastAsia"/>
                <w:sz w:val="16"/>
                <w:szCs w:val="16"/>
              </w:rPr>
              <w:t xml:space="preserve"> Ibuprofen 400mg tablet; one tablet three times a day when required</w:t>
            </w:r>
          </w:p>
        </w:tc>
      </w:tr>
      <w:tr w:rsidRPr="00D35624" w:rsidR="00A626FD" w:rsidTr="00211CB6" w14:paraId="74B6D633" w14:textId="77777777">
        <w:trPr>
          <w:gridAfter w:val="1"/>
          <w:wAfter w:w="6" w:type="dxa"/>
          <w:trHeight w:val="1304"/>
        </w:trPr>
        <w:tc>
          <w:tcPr>
            <w:tcW w:w="2888" w:type="dxa"/>
            <w:shd w:val="clear" w:color="auto" w:fill="A4D6EF"/>
            <w:vAlign w:val="center"/>
          </w:tcPr>
          <w:p w:rsidRPr="00407F3A" w:rsidR="006D1573" w:rsidP="001B36EE" w:rsidRDefault="00DB2D44" w14:paraId="79157B86" w14:textId="028893F3">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Antihistamine</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&lt;EndNote&gt;&lt;Cite&gt;&lt;Author&gt;NICE&lt;/Author&gt;&lt;Year&gt;2026&lt;/Year&gt;&lt;RecNum&gt;31226&lt;/RecNum&gt;&lt;DisplayText&gt;&lt;style face="superscript"&gt;(NICE, 2026a)&lt;/style&gt;&lt;/DisplayText&gt;&lt;record&gt;&lt;rec-number&gt;31226&lt;/rec-number&gt;&lt;foreign-keys&gt;&lt;key app="EN" db-id="f5f5va0252p5fee95pj55es3tdereta29dxz" timestamp="1778144780"&gt;31226&lt;/key&gt;&lt;/foreign-keys&gt;&lt;ref-type name="Generic"&gt;13&lt;/ref-type&gt;&lt;contributors&gt;&lt;authors&gt;&lt;author&gt;NICE,&lt;/author&gt;&lt;/authors&gt;&lt;/contributors&gt;&lt;titles&gt;&lt;title&gt;BNF. Cetirizine medicinal forms&lt;/title&gt;&lt;/titles&gt;&lt;dates&gt;&lt;year&gt;2026&lt;/year&gt;&lt;/dates&gt;&lt;urls&gt;&lt;related-urls&gt;&lt;url&gt;https://bnf.nice.org.uk/drugs/cetirizine-hydrochloride/medicinal-forms/#oral-tablet&lt;/url&gt;&lt;/related-urls&gt;&lt;/urls&gt;&lt;access-date&gt;May 2026&lt;/access-date&gt;&lt;/record&gt;&lt;/Cite&gt;&lt;/EndNote&gt;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(NICE, 2026a)</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B2D44" w:rsidR="006D1573" w:rsidP="001B36EE" w:rsidRDefault="00220E34" w14:paraId="4830B5DF" w14:textId="19CE5C2B">
            <w:pPr>
              <w:jc w:val="center"/>
              <w:rPr>
                <w:rFonts w:ascii="Poppins" w:hAnsi="Poppins" w:cs="Poppins" w:eastAsiaTheme="majorEastAsia"/>
                <w:sz w:val="20"/>
                <w:szCs w:val="20"/>
              </w:rPr>
            </w:pPr>
            <w:r>
              <w:rPr>
                <w:rFonts w:ascii="Poppins" w:hAnsi="Poppins" w:cs="Poppins" w:eastAsiaTheme="majorEastAsia"/>
                <w:sz w:val="20"/>
                <w:szCs w:val="20"/>
              </w:rPr>
              <w:t>0.02</w:t>
            </w:r>
          </w:p>
        </w:tc>
        <w:tc>
          <w:tcPr>
            <w:tcW w:w="1490" w:type="dxa"/>
            <w:shd w:val="clear" w:color="auto" w:fill="F2F2F2" w:themeFill="background1" w:themeFillShade="F2"/>
            <w:vAlign w:val="center"/>
          </w:tcPr>
          <w:p w:rsidRPr="00DB2D44" w:rsidR="006D1573" w:rsidP="001B36EE" w:rsidRDefault="00220E34" w14:paraId="0FBDFEF6" w14:textId="5A70CC05">
            <w:pPr>
              <w:jc w:val="center"/>
              <w:rPr>
                <w:rFonts w:ascii="Poppins" w:hAnsi="Poppins" w:cs="Poppins" w:eastAsiaTheme="majorEastAsia"/>
                <w:sz w:val="20"/>
                <w:szCs w:val="20"/>
              </w:rPr>
            </w:pPr>
            <w:r>
              <w:rPr>
                <w:rFonts w:ascii="Poppins" w:hAnsi="Poppins" w:cs="Poppins" w:eastAsiaTheme="majorEastAsia"/>
                <w:sz w:val="20"/>
                <w:szCs w:val="20"/>
              </w:rPr>
              <w:t>1</w:t>
            </w:r>
            <w:r w:rsidR="004F0BA6">
              <w:rPr>
                <w:rFonts w:ascii="Poppins" w:hAnsi="Poppins" w:cs="Poppins" w:eastAsiaTheme="majorEastAsia"/>
                <w:sz w:val="20"/>
                <w:szCs w:val="20"/>
              </w:rPr>
              <w:t>4</w:t>
            </w:r>
          </w:p>
        </w:tc>
        <w:tc>
          <w:tcPr>
            <w:tcW w:w="1490" w:type="dxa"/>
            <w:shd w:val="clear" w:color="auto" w:fill="F2F2F2" w:themeFill="background1" w:themeFillShade="F2"/>
            <w:vAlign w:val="center"/>
          </w:tcPr>
          <w:p w:rsidRPr="00DB2D44" w:rsidR="006D1573" w:rsidP="001B36EE" w:rsidRDefault="004F0BA6" w14:paraId="06EAD9C5" w14:textId="6F3EC484">
            <w:pPr>
              <w:jc w:val="center"/>
              <w:rPr>
                <w:rFonts w:ascii="Poppins" w:hAnsi="Poppins" w:cs="Poppins" w:eastAsiaTheme="majorEastAsia"/>
                <w:sz w:val="20"/>
                <w:szCs w:val="20"/>
              </w:rPr>
            </w:pPr>
            <w:r>
              <w:rPr>
                <w:rFonts w:ascii="Poppins" w:hAnsi="Poppins" w:cs="Poppins" w:eastAsiaTheme="majorEastAsia"/>
                <w:sz w:val="20"/>
                <w:szCs w:val="20"/>
              </w:rPr>
              <w:t>0.28</w:t>
            </w:r>
          </w:p>
        </w:tc>
        <w:tc>
          <w:tcPr>
            <w:tcW w:w="1492" w:type="dxa"/>
            <w:shd w:val="clear" w:color="auto" w:fill="F2F2F2" w:themeFill="background1" w:themeFillShade="F2"/>
            <w:vAlign w:val="center"/>
          </w:tcPr>
          <w:p w:rsidRPr="00220E34" w:rsidR="006D1573" w:rsidP="001B36EE" w:rsidRDefault="00491743" w14:paraId="7AB10918" w14:textId="3479AEE4">
            <w:pPr>
              <w:jc w:val="center"/>
              <w:rPr>
                <w:rFonts w:ascii="Poppins" w:hAnsi="Poppins" w:cs="Poppins" w:eastAsiaTheme="majorEastAsia"/>
                <w:sz w:val="16"/>
                <w:szCs w:val="16"/>
              </w:rPr>
            </w:pPr>
            <w:r>
              <w:rPr>
                <w:rFonts w:ascii="Poppins" w:hAnsi="Poppins" w:cs="Poppins" w:eastAsiaTheme="majorEastAsia"/>
                <w:sz w:val="16"/>
                <w:szCs w:val="16"/>
              </w:rPr>
              <w:t xml:space="preserve">e.g., </w:t>
            </w:r>
            <w:r w:rsidRPr="00491743">
              <w:rPr>
                <w:rFonts w:ascii="Poppins" w:hAnsi="Poppins" w:cs="Poppins" w:eastAsiaTheme="majorEastAsia"/>
                <w:sz w:val="16"/>
                <w:szCs w:val="16"/>
              </w:rPr>
              <w:t>Cetirizine hydrochloride, 10mg tablet; once daily</w:t>
            </w:r>
          </w:p>
        </w:tc>
      </w:tr>
      <w:tr w:rsidRPr="00D35624" w:rsidR="00A626FD" w:rsidTr="00211CB6" w14:paraId="5DC1FBB0" w14:textId="77777777">
        <w:trPr>
          <w:gridAfter w:val="1"/>
          <w:wAfter w:w="6" w:type="dxa"/>
          <w:trHeight w:val="1304"/>
        </w:trPr>
        <w:tc>
          <w:tcPr>
            <w:tcW w:w="2888" w:type="dxa"/>
            <w:shd w:val="clear" w:color="auto" w:fill="A4D6EF"/>
            <w:vAlign w:val="center"/>
          </w:tcPr>
          <w:p w:rsidRPr="00407F3A" w:rsidR="006D1573" w:rsidP="001B36EE" w:rsidRDefault="00061000" w14:paraId="02E1FBC2" w14:textId="25FD283E">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Anti-emetics</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&lt;EndNote&gt;&lt;Cite&gt;&lt;Author&gt;NICE&lt;/Author&gt;&lt;Year&gt;2026&lt;/Year&gt;&lt;RecNum&gt;31227&lt;/RecNum&gt;&lt;DisplayText&gt;&lt;style face="superscript"&gt;(NICE, 2026d)&lt;/style&gt;&lt;/DisplayText&gt;&lt;record&gt;&lt;rec-number&gt;31227&lt;/rec-number&gt;&lt;foreign-keys&gt;&lt;key app="EN" db-id="f5f5va0252p5fee95pj55es3tdereta29dxz" timestamp="1778144875"&gt;31227&lt;/key&gt;&lt;/foreign-keys&gt;&lt;ref-type name="Generic"&gt;13&lt;/ref-type&gt;&lt;contributors&gt;&lt;authors&gt;&lt;author&gt;NICE,&lt;/author&gt;&lt;/authors&gt;&lt;/contributors&gt;&lt;titles&gt;&lt;title&gt;BNF. Ondansetron medicinal forms&lt;/title&gt;&lt;/titles&gt;&lt;dates&gt;&lt;year&gt;2026&lt;/year&gt;&lt;/dates&gt;&lt;urls&gt;&lt;related-urls&gt;&lt;url&gt;https://bnf.nice.org.uk/drugs/ondansetron/medicinal-forms/&lt;/url&gt;&lt;/related-urls&gt;&lt;/urls&gt;&lt;access-date&gt;May 2026&lt;/access-date&gt;&lt;/record&gt;&lt;/Cite&gt;&lt;/EndNote&gt;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(NICE, 2026d)</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B2D44" w:rsidR="006D1573" w:rsidP="001B36EE" w:rsidRDefault="00220E34" w14:paraId="3283E598" w14:textId="29A5A4A7">
            <w:pPr>
              <w:jc w:val="center"/>
              <w:rPr>
                <w:rFonts w:ascii="Poppins" w:hAnsi="Poppins" w:cs="Poppins" w:eastAsiaTheme="majorEastAsia"/>
                <w:sz w:val="20"/>
                <w:szCs w:val="20"/>
              </w:rPr>
            </w:pPr>
            <w:r>
              <w:rPr>
                <w:rFonts w:ascii="Poppins" w:hAnsi="Poppins" w:cs="Poppins" w:eastAsiaTheme="majorEastAsia"/>
                <w:sz w:val="20"/>
                <w:szCs w:val="20"/>
              </w:rPr>
              <w:t>0.</w:t>
            </w:r>
            <w:r w:rsidR="003431BD">
              <w:rPr>
                <w:rFonts w:ascii="Poppins" w:hAnsi="Poppins" w:cs="Poppins" w:eastAsiaTheme="majorEastAsia"/>
                <w:sz w:val="20"/>
                <w:szCs w:val="20"/>
              </w:rPr>
              <w:t>14</w:t>
            </w:r>
          </w:p>
        </w:tc>
        <w:tc>
          <w:tcPr>
            <w:tcW w:w="1490" w:type="dxa"/>
            <w:shd w:val="clear" w:color="auto" w:fill="F2F2F2" w:themeFill="background1" w:themeFillShade="F2"/>
            <w:vAlign w:val="center"/>
          </w:tcPr>
          <w:p w:rsidRPr="00DB2D44" w:rsidR="006D1573" w:rsidP="001B36EE" w:rsidRDefault="004F0BA6" w14:paraId="090BC0D5" w14:textId="11A0FB92">
            <w:pPr>
              <w:jc w:val="center"/>
              <w:rPr>
                <w:rFonts w:ascii="Poppins" w:hAnsi="Poppins" w:cs="Poppins" w:eastAsiaTheme="majorEastAsia"/>
                <w:sz w:val="20"/>
                <w:szCs w:val="20"/>
              </w:rPr>
            </w:pPr>
            <w:r>
              <w:rPr>
                <w:rFonts w:ascii="Poppins" w:hAnsi="Poppins" w:cs="Poppins" w:eastAsiaTheme="majorEastAsia"/>
                <w:sz w:val="20"/>
                <w:szCs w:val="20"/>
              </w:rPr>
              <w:t>14</w:t>
            </w:r>
          </w:p>
        </w:tc>
        <w:tc>
          <w:tcPr>
            <w:tcW w:w="1490" w:type="dxa"/>
            <w:shd w:val="clear" w:color="auto" w:fill="F2F2F2" w:themeFill="background1" w:themeFillShade="F2"/>
            <w:vAlign w:val="center"/>
          </w:tcPr>
          <w:p w:rsidRPr="00DB2D44" w:rsidR="006D1573" w:rsidP="001B36EE" w:rsidRDefault="003431BD" w14:paraId="22F14FDF" w14:textId="3FC96D00">
            <w:pPr>
              <w:jc w:val="center"/>
              <w:rPr>
                <w:rFonts w:ascii="Poppins" w:hAnsi="Poppins" w:cs="Poppins" w:eastAsiaTheme="majorEastAsia"/>
                <w:sz w:val="20"/>
                <w:szCs w:val="20"/>
              </w:rPr>
            </w:pPr>
            <w:r>
              <w:rPr>
                <w:rFonts w:ascii="Poppins" w:hAnsi="Poppins" w:cs="Poppins" w:eastAsiaTheme="majorEastAsia"/>
                <w:sz w:val="20"/>
                <w:szCs w:val="20"/>
              </w:rPr>
              <w:t>1.96</w:t>
            </w:r>
          </w:p>
        </w:tc>
        <w:tc>
          <w:tcPr>
            <w:tcW w:w="1492" w:type="dxa"/>
            <w:shd w:val="clear" w:color="auto" w:fill="F2F2F2" w:themeFill="background1" w:themeFillShade="F2"/>
            <w:vAlign w:val="center"/>
          </w:tcPr>
          <w:p w:rsidRPr="00220E34" w:rsidR="006D1573" w:rsidP="001B36EE" w:rsidRDefault="00491743" w14:paraId="1E91E319" w14:textId="094CAB43">
            <w:pPr>
              <w:jc w:val="center"/>
              <w:rPr>
                <w:rFonts w:ascii="Poppins" w:hAnsi="Poppins" w:cs="Poppins" w:eastAsiaTheme="majorEastAsia"/>
                <w:sz w:val="16"/>
                <w:szCs w:val="16"/>
              </w:rPr>
            </w:pPr>
            <w:r>
              <w:rPr>
                <w:rFonts w:ascii="Poppins" w:hAnsi="Poppins" w:cs="Poppins" w:eastAsiaTheme="majorEastAsia"/>
                <w:sz w:val="16"/>
                <w:szCs w:val="16"/>
              </w:rPr>
              <w:t xml:space="preserve">e.g., </w:t>
            </w:r>
            <w:r w:rsidRPr="001E3BB7" w:rsidR="001E3BB7">
              <w:rPr>
                <w:rFonts w:ascii="Poppins" w:hAnsi="Poppins" w:cs="Poppins" w:eastAsiaTheme="majorEastAsia"/>
                <w:sz w:val="16"/>
                <w:szCs w:val="16"/>
              </w:rPr>
              <w:t>Ondansetron, 4mg tablet; once daily</w:t>
            </w:r>
          </w:p>
        </w:tc>
      </w:tr>
      <w:tr w:rsidRPr="00373C4A" w:rsidR="00F4711F" w:rsidTr="00211CB6" w14:paraId="04655B2B" w14:textId="77777777">
        <w:trPr>
          <w:gridAfter w:val="1"/>
          <w:wAfter w:w="6" w:type="dxa"/>
          <w:trHeight w:val="794"/>
        </w:trPr>
        <w:tc>
          <w:tcPr>
            <w:tcW w:w="2888" w:type="dxa"/>
            <w:shd w:val="clear" w:color="auto" w:fill="0023C8"/>
            <w:vAlign w:val="center"/>
          </w:tcPr>
          <w:p w:rsidRPr="00865900" w:rsidR="001F1EFA" w:rsidP="001B36EE" w:rsidRDefault="00061000" w14:paraId="047499C4" w14:textId="3DD459DE">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Total pre-medication</w:t>
            </w:r>
            <w:r w:rsidRPr="00865900" w:rsidR="00373C4A">
              <w:rPr>
                <w:rFonts w:ascii="Poppins" w:hAnsi="Poppins" w:cs="Poppins" w:eastAsiaTheme="majorEastAsia"/>
                <w:b/>
                <w:bCs/>
                <w:color w:val="FFFFFF" w:themeColor="background1"/>
                <w:sz w:val="20"/>
                <w:szCs w:val="20"/>
              </w:rPr>
              <w:t xml:space="preserve"> costs per patient</w:t>
            </w:r>
          </w:p>
        </w:tc>
        <w:tc>
          <w:tcPr>
            <w:tcW w:w="5961" w:type="dxa"/>
            <w:gridSpan w:val="4"/>
            <w:shd w:val="clear" w:color="auto" w:fill="0023C8"/>
            <w:vAlign w:val="center"/>
          </w:tcPr>
          <w:p w:rsidRPr="00865900" w:rsidR="001F1EFA" w:rsidP="001B36EE" w:rsidRDefault="003431BD" w14:paraId="7BEE69FF" w14:textId="148E0EF4">
            <w:pPr>
              <w:jc w:val="center"/>
              <w:rPr>
                <w:rFonts w:ascii="Poppins" w:hAnsi="Poppins" w:cs="Poppins" w:eastAsiaTheme="majorEastAsia"/>
                <w:b/>
                <w:bCs/>
                <w:color w:val="FFFFFF" w:themeColor="background1"/>
                <w:sz w:val="20"/>
                <w:szCs w:val="20"/>
              </w:rPr>
            </w:pPr>
            <w:r>
              <w:rPr>
                <w:rFonts w:ascii="Poppins" w:hAnsi="Poppins" w:cs="Poppins" w:eastAsiaTheme="majorEastAsia"/>
                <w:b/>
                <w:bCs/>
                <w:color w:val="FFFFFF" w:themeColor="background1"/>
                <w:sz w:val="20"/>
                <w:szCs w:val="20"/>
              </w:rPr>
              <w:t>2.66</w:t>
            </w:r>
          </w:p>
        </w:tc>
      </w:tr>
    </w:tbl>
    <w:p w:rsidRPr="00F37E36" w:rsidR="00C143EC" w:rsidP="00F37E36" w:rsidRDefault="00C143EC" w14:paraId="13D7D156" w14:textId="77777777">
      <w:pPr>
        <w:spacing w:after="0" w:line="240" w:lineRule="auto"/>
        <w:rPr>
          <w:rFonts w:ascii="Poppins" w:hAnsi="Poppins" w:cs="Poppins"/>
          <w:sz w:val="10"/>
          <w:szCs w:val="10"/>
        </w:rPr>
      </w:pPr>
    </w:p>
    <w:p w:rsidR="00803CB0" w:rsidP="001B36EE" w:rsidRDefault="00211CB6" w14:paraId="6E5050B7" w14:textId="725DCEEA">
      <w:pPr>
        <w:spacing w:line="240" w:lineRule="auto"/>
        <w:rPr>
          <w:rFonts w:ascii="Poppins" w:hAnsi="Poppins" w:cs="Poppins"/>
        </w:rPr>
      </w:pPr>
      <w:r w:rsidRPr="00424D5A">
        <w:rPr>
          <w:rFonts w:ascii="Poppins" w:hAnsi="Poppins" w:cs="Poppins"/>
        </w:rPr>
        <w:t>Costs per tablet have been rounded to nearest penny then multiplied by quantity per patient</w:t>
      </w:r>
    </w:p>
    <w:tbl>
      <w:tblPr>
        <w:tblStyle w:val="TableGrid"/>
        <w:tblW w:w="8963" w:type="dxa"/>
        <w:tblBorders>
          <w:top w:val="none" w:color="auto" w:sz="0" w:space="0"/>
          <w:left w:val="none" w:color="auto" w:sz="0" w:space="0"/>
          <w:bottom w:val="none" w:color="auto" w:sz="0" w:space="0"/>
          <w:right w:val="none" w:color="auto" w:sz="0" w:space="0"/>
          <w:insideH w:val="single" w:color="FFFFFF" w:themeColor="background1" w:sz="8" w:space="0"/>
          <w:insideV w:val="single" w:color="FFFFFF" w:themeColor="background1" w:sz="8" w:space="0"/>
        </w:tblBorders>
        <w:tblLook w:val="04A0" w:firstRow="1" w:lastRow="0" w:firstColumn="1" w:lastColumn="0" w:noHBand="0" w:noVBand="1"/>
      </w:tblPr>
      <w:tblGrid>
        <w:gridCol w:w="3005"/>
        <w:gridCol w:w="1489"/>
        <w:gridCol w:w="1490"/>
        <w:gridCol w:w="1489"/>
        <w:gridCol w:w="1490"/>
      </w:tblGrid>
      <w:tr w:rsidRPr="00F4711F" w:rsidR="00F4711F" w:rsidTr="00865900" w14:paraId="1AA755CC" w14:textId="679C4AF4">
        <w:trPr>
          <w:trHeight w:val="907"/>
        </w:trPr>
        <w:tc>
          <w:tcPr>
            <w:tcW w:w="3005" w:type="dxa"/>
            <w:shd w:val="clear" w:color="auto" w:fill="0096FF"/>
            <w:vAlign w:val="center"/>
          </w:tcPr>
          <w:p w:rsidRPr="003431BD" w:rsidR="00795851" w:rsidP="001B36EE" w:rsidRDefault="00795851" w14:paraId="6C538A46" w14:textId="1F02F826">
            <w:pPr>
              <w:jc w:val="center"/>
              <w:rPr>
                <w:rFonts w:ascii="Poppins" w:hAnsi="Poppins" w:cs="Poppins" w:eastAsiaTheme="majorEastAsia"/>
                <w:color w:val="FFFFFF" w:themeColor="background1"/>
                <w:sz w:val="20"/>
                <w:szCs w:val="20"/>
              </w:rPr>
            </w:pPr>
            <w:r w:rsidRPr="00F4711F">
              <w:rPr>
                <w:rFonts w:ascii="Poppins" w:hAnsi="Poppins" w:cs="Poppins" w:eastAsiaTheme="majorEastAsia"/>
                <w:b/>
                <w:bCs/>
                <w:color w:val="FFFFFF" w:themeColor="background1"/>
                <w:sz w:val="20"/>
                <w:szCs w:val="20"/>
              </w:rPr>
              <w:t>Cost of labs/monitoring</w:t>
            </w:r>
            <w:r w:rsidR="003431BD">
              <w:rPr>
                <w:rFonts w:ascii="Poppins" w:hAnsi="Poppins" w:cs="Poppins" w:eastAsiaTheme="majorEastAsia"/>
                <w:b/>
                <w:bCs/>
                <w:color w:val="FFFFFF" w:themeColor="background1"/>
                <w:sz w:val="20"/>
                <w:szCs w:val="20"/>
              </w:rPr>
              <w:t xml:space="preserve"> </w:t>
            </w:r>
            <w:r w:rsidR="003431BD">
              <w:rPr>
                <w:rFonts w:ascii="Poppins" w:hAnsi="Poppins" w:cs="Poppins" w:eastAsiaTheme="majorEastAsia"/>
                <w:color w:val="FFFFFF" w:themeColor="background1"/>
                <w:sz w:val="20"/>
                <w:szCs w:val="20"/>
              </w:rPr>
              <w:t>(not including medical review if adverse event)</w:t>
            </w:r>
          </w:p>
        </w:tc>
        <w:tc>
          <w:tcPr>
            <w:tcW w:w="1489" w:type="dxa"/>
            <w:shd w:val="clear" w:color="auto" w:fill="0096FF"/>
            <w:vAlign w:val="center"/>
          </w:tcPr>
          <w:p w:rsidRPr="00F4711F" w:rsidR="00795851" w:rsidP="001B36EE" w:rsidRDefault="00B31BA7" w14:paraId="44975AFC" w14:textId="6EE49233">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Unit cost (£)</w:t>
            </w:r>
          </w:p>
        </w:tc>
        <w:tc>
          <w:tcPr>
            <w:tcW w:w="1490" w:type="dxa"/>
            <w:shd w:val="clear" w:color="auto" w:fill="0096FF"/>
            <w:vAlign w:val="center"/>
          </w:tcPr>
          <w:p w:rsidRPr="00F4711F" w:rsidR="00795851" w:rsidP="001B36EE" w:rsidRDefault="00B31BA7" w14:paraId="47EF4844" w14:textId="40685E8B">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Count per patient</w:t>
            </w:r>
          </w:p>
        </w:tc>
        <w:tc>
          <w:tcPr>
            <w:tcW w:w="1489" w:type="dxa"/>
            <w:shd w:val="clear" w:color="auto" w:fill="0096FF"/>
            <w:vAlign w:val="center"/>
          </w:tcPr>
          <w:p w:rsidRPr="00F4711F" w:rsidR="00795851" w:rsidP="001B36EE" w:rsidRDefault="00F36A51" w14:paraId="6D48A2BE" w14:textId="78261C20">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Total per patient (£)</w:t>
            </w:r>
          </w:p>
        </w:tc>
        <w:tc>
          <w:tcPr>
            <w:tcW w:w="1490" w:type="dxa"/>
            <w:shd w:val="clear" w:color="auto" w:fill="0096FF"/>
            <w:vAlign w:val="center"/>
          </w:tcPr>
          <w:p w:rsidRPr="00F4711F" w:rsidR="00795851" w:rsidP="001B36EE" w:rsidRDefault="00F36A51" w14:paraId="44D91456" w14:textId="45434E5D">
            <w:pPr>
              <w:jc w:val="center"/>
              <w:rPr>
                <w:rFonts w:ascii="Poppins" w:hAnsi="Poppins" w:cs="Poppins" w:eastAsiaTheme="majorEastAsia"/>
                <w:b/>
                <w:bCs/>
                <w:color w:val="FFFFFF" w:themeColor="background1"/>
                <w:sz w:val="20"/>
                <w:szCs w:val="20"/>
              </w:rPr>
            </w:pPr>
            <w:r w:rsidRPr="00F4711F">
              <w:rPr>
                <w:rFonts w:ascii="Poppins" w:hAnsi="Poppins" w:cs="Poppins" w:eastAsiaTheme="majorEastAsia"/>
                <w:b/>
                <w:bCs/>
                <w:color w:val="FFFFFF" w:themeColor="background1"/>
                <w:sz w:val="20"/>
                <w:szCs w:val="20"/>
              </w:rPr>
              <w:t>Notes</w:t>
            </w:r>
          </w:p>
        </w:tc>
      </w:tr>
      <w:tr w:rsidRPr="00D35624" w:rsidR="00B31BA7" w:rsidTr="00FC020F" w14:paraId="60357611" w14:textId="77777777">
        <w:trPr>
          <w:trHeight w:val="907"/>
        </w:trPr>
        <w:tc>
          <w:tcPr>
            <w:tcW w:w="3005" w:type="dxa"/>
            <w:shd w:val="clear" w:color="auto" w:fill="A4D6EF"/>
            <w:vAlign w:val="center"/>
          </w:tcPr>
          <w:p w:rsidRPr="00BA76EE" w:rsidR="00B31BA7" w:rsidP="001B36EE" w:rsidRDefault="00F36A51" w14:paraId="324E8847" w14:textId="482AE319">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FBC</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&lt;EndNote&gt;&lt;Cite&gt;&lt;Author&gt;Akhtar&lt;/Author&gt;&lt;Year&gt;2014&lt;/Year&gt;&lt;RecNum&gt;31228&lt;/RecNum&gt;&lt;DisplayText&gt;&lt;style face="superscript"&gt;(Akhtar, 2014)&lt;/style&gt;&lt;/DisplayText&gt;&lt;record&gt;&lt;rec-number&gt;31228&lt;/rec-number&gt;&lt;foreign-keys&gt;&lt;key app="EN" db-id="f5f5va0252p5fee95pj55es3tdereta29dxz" timestamp="1778144930"&gt;31228&lt;/key&gt;&lt;/foreign-keys&gt;&lt;ref-type name="Journal Article"&gt;17&lt;/ref-type&gt;&lt;contributors&gt;&lt;authors&gt;&lt;author&gt;Akhtar, W.&lt;/author&gt;&lt;author&gt;Chung, Y.&lt;/author&gt;&lt;/authors&gt;&lt;/contributors&gt;&lt;auth-address&gt;St Bartholomew&amp;apos;s Hospital.&lt;/auth-address&gt;&lt;titles&gt;&lt;title&gt;Saving the NHS one blood test at a time&lt;/title&gt;&lt;secondary-title&gt;BMJ Qual Improv Rep&lt;/secondary-title&gt;&lt;/titles&gt;&lt;periodical&gt;&lt;full-title&gt;BMJ Qual Improv Rep&lt;/full-title&gt;&lt;/periodical&gt;&lt;volume&gt;2&lt;/volume&gt;&lt;number&gt;2&lt;/number&gt;&lt;edition&gt;20140221&lt;/edition&gt;&lt;dates&gt;&lt;year&gt;2014&lt;/year&gt;&lt;/dates&gt;&lt;isbn&gt;2050-1315 (Print)&amp;#xD;2050-1315&lt;/isbn&gt;&lt;accession-num&gt;26734249&lt;/accession-num&gt;&lt;urls&gt;&lt;/urls&gt;&lt;custom2&gt;PMC4663853&lt;/custom2&gt;&lt;electronic-resource-num&gt;10.1136/bmjquality.u204012.w1749&lt;/electronic-resource-num&gt;&lt;remote-database-provider&gt;NLM&lt;/remote-database-provider&gt;&lt;language&gt;eng&lt;/languag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(Akhtar, 2014)</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35624" w:rsidR="00B31BA7" w:rsidP="001B36EE" w:rsidRDefault="00A72612" w14:paraId="17C7818A" w14:textId="6C64DB5D">
            <w:pPr>
              <w:jc w:val="center"/>
              <w:rPr>
                <w:rFonts w:ascii="Poppins" w:hAnsi="Poppins" w:cs="Poppins" w:eastAsiaTheme="majorEastAsia"/>
                <w:sz w:val="20"/>
                <w:szCs w:val="20"/>
              </w:rPr>
            </w:pPr>
            <w:r>
              <w:rPr>
                <w:rFonts w:ascii="Poppins" w:hAnsi="Poppins" w:cs="Poppins" w:eastAsiaTheme="majorEastAsia"/>
                <w:sz w:val="20"/>
                <w:szCs w:val="20"/>
              </w:rPr>
              <w:t>2.65</w:t>
            </w:r>
          </w:p>
        </w:tc>
        <w:tc>
          <w:tcPr>
            <w:tcW w:w="1490" w:type="dxa"/>
            <w:shd w:val="clear" w:color="auto" w:fill="F2F2F2" w:themeFill="background1" w:themeFillShade="F2"/>
            <w:vAlign w:val="center"/>
          </w:tcPr>
          <w:p w:rsidRPr="00D35624" w:rsidR="00B31BA7" w:rsidP="001B36EE" w:rsidRDefault="00A72612" w14:paraId="5BC15456" w14:textId="138878D1">
            <w:pPr>
              <w:jc w:val="center"/>
              <w:rPr>
                <w:rFonts w:ascii="Poppins" w:hAnsi="Poppins" w:cs="Poppins" w:eastAsiaTheme="majorEastAsia"/>
                <w:sz w:val="20"/>
                <w:szCs w:val="20"/>
              </w:rPr>
            </w:pPr>
            <w:r>
              <w:rPr>
                <w:rFonts w:ascii="Poppins" w:hAnsi="Poppins" w:cs="Poppins" w:eastAsiaTheme="majorEastAsia"/>
                <w:sz w:val="20"/>
                <w:szCs w:val="20"/>
              </w:rPr>
              <w:t>14</w:t>
            </w:r>
          </w:p>
        </w:tc>
        <w:tc>
          <w:tcPr>
            <w:tcW w:w="1489" w:type="dxa"/>
            <w:shd w:val="clear" w:color="auto" w:fill="F2F2F2" w:themeFill="background1" w:themeFillShade="F2"/>
            <w:vAlign w:val="center"/>
          </w:tcPr>
          <w:p w:rsidRPr="00D35624" w:rsidR="00B31BA7" w:rsidP="001B36EE" w:rsidRDefault="00A72612" w14:paraId="22CD52D7" w14:textId="699C8BD8">
            <w:pPr>
              <w:jc w:val="center"/>
              <w:rPr>
                <w:rFonts w:ascii="Poppins" w:hAnsi="Poppins" w:cs="Poppins" w:eastAsiaTheme="majorEastAsia"/>
                <w:sz w:val="20"/>
                <w:szCs w:val="20"/>
              </w:rPr>
            </w:pPr>
            <w:r>
              <w:rPr>
                <w:rFonts w:ascii="Poppins" w:hAnsi="Poppins" w:cs="Poppins" w:eastAsiaTheme="majorEastAsia"/>
                <w:sz w:val="20"/>
                <w:szCs w:val="20"/>
              </w:rPr>
              <w:t>37.10</w:t>
            </w:r>
          </w:p>
        </w:tc>
        <w:tc>
          <w:tcPr>
            <w:tcW w:w="1490" w:type="dxa"/>
            <w:shd w:val="clear" w:color="auto" w:fill="F2F2F2" w:themeFill="background1" w:themeFillShade="F2"/>
            <w:vAlign w:val="center"/>
          </w:tcPr>
          <w:p w:rsidRPr="00A72612" w:rsidR="00B31BA7" w:rsidP="001B36EE" w:rsidRDefault="00A72612" w14:paraId="09CEDE5E" w14:textId="4B905288">
            <w:pPr>
              <w:jc w:val="center"/>
              <w:rPr>
                <w:rFonts w:ascii="Poppins" w:hAnsi="Poppins" w:cs="Poppins" w:eastAsiaTheme="majorEastAsia"/>
                <w:sz w:val="16"/>
                <w:szCs w:val="16"/>
              </w:rPr>
            </w:pPr>
            <w:r>
              <w:rPr>
                <w:rFonts w:ascii="Poppins" w:hAnsi="Poppins" w:cs="Poppins" w:eastAsiaTheme="majorEastAsia"/>
                <w:sz w:val="16"/>
                <w:szCs w:val="16"/>
              </w:rPr>
              <w:t xml:space="preserve">Baseline + </w:t>
            </w:r>
            <w:r w:rsidR="00FC020F">
              <w:rPr>
                <w:rFonts w:ascii="Poppins" w:hAnsi="Poppins" w:cs="Poppins" w:eastAsiaTheme="majorEastAsia"/>
                <w:sz w:val="16"/>
                <w:szCs w:val="16"/>
              </w:rPr>
              <w:br/>
            </w:r>
            <w:r>
              <w:rPr>
                <w:rFonts w:ascii="Poppins" w:hAnsi="Poppins" w:cs="Poppins" w:eastAsiaTheme="majorEastAsia"/>
                <w:sz w:val="16"/>
                <w:szCs w:val="16"/>
              </w:rPr>
              <w:t>mid-course</w:t>
            </w:r>
          </w:p>
        </w:tc>
      </w:tr>
      <w:tr w:rsidRPr="00D35624" w:rsidR="00B31BA7" w:rsidTr="00FC020F" w14:paraId="37693E36" w14:textId="77777777">
        <w:trPr>
          <w:trHeight w:val="907"/>
        </w:trPr>
        <w:tc>
          <w:tcPr>
            <w:tcW w:w="3005" w:type="dxa"/>
            <w:shd w:val="clear" w:color="auto" w:fill="A4D6EF"/>
            <w:vAlign w:val="center"/>
          </w:tcPr>
          <w:p w:rsidRPr="00BA76EE" w:rsidR="00B31BA7" w:rsidP="001B36EE" w:rsidRDefault="00FE3440" w14:paraId="10D3EF3E" w14:textId="0503502F">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U&amp;E</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&lt;EndNote&gt;&lt;Cite&gt;&lt;Author&gt;Akhtar&lt;/Author&gt;&lt;Year&gt;2014&lt;/Year&gt;&lt;RecNum&gt;31228&lt;/RecNum&gt;&lt;DisplayText&gt;&lt;style face="superscript"&gt;(Akhtar, 2014)&lt;/style&gt;&lt;/DisplayText&gt;&lt;record&gt;&lt;rec-number&gt;31228&lt;/rec-number&gt;&lt;foreign-keys&gt;&lt;key app="EN" db-id="f5f5va0252p5fee95pj55es3tdereta29dxz" timestamp="1778144930"&gt;31228&lt;/key&gt;&lt;/foreign-keys&gt;&lt;ref-type name="Journal Article"&gt;17&lt;/ref-type&gt;&lt;contributors&gt;&lt;authors&gt;&lt;author&gt;Akhtar, W.&lt;/author&gt;&lt;author&gt;Chung, Y.&lt;/author&gt;&lt;/authors&gt;&lt;/contributors&gt;&lt;auth-address&gt;St Bartholomew&amp;apos;s Hospital.&lt;/auth-address&gt;&lt;titles&gt;&lt;title&gt;Saving the NHS one blood test at a time&lt;/title&gt;&lt;secondary-title&gt;BMJ Qual Improv Rep&lt;/secondary-title&gt;&lt;/titles&gt;&lt;periodical&gt;&lt;full-title&gt;BMJ Qual Improv Rep&lt;/full-title&gt;&lt;/periodical&gt;&lt;volume&gt;2&lt;/volume&gt;&lt;number&gt;2&lt;/number&gt;&lt;edition&gt;20140221&lt;/edition&gt;&lt;dates&gt;&lt;year&gt;2014&lt;/year&gt;&lt;/dates&gt;&lt;isbn&gt;2050-1315 (Print)&amp;#xD;2050-1315&lt;/isbn&gt;&lt;accession-num&gt;26734249&lt;/accession-num&gt;&lt;urls&gt;&lt;/urls&gt;&lt;custom2&gt;PMC4663853&lt;/custom2&gt;&lt;electronic-resource-num&gt;10.1136/bmjquality.u204012.w1749&lt;/electronic-resource-num&gt;&lt;remote-database-provider&gt;NLM&lt;/remote-database-provider&gt;&lt;language&gt;eng&lt;/languag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(Akhtar, 2014)</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35624" w:rsidR="00B31BA7" w:rsidP="001B36EE" w:rsidRDefault="00A72612" w14:paraId="1E6649AD" w14:textId="6283180B">
            <w:pPr>
              <w:jc w:val="center"/>
              <w:rPr>
                <w:rFonts w:ascii="Poppins" w:hAnsi="Poppins" w:cs="Poppins" w:eastAsiaTheme="majorEastAsia"/>
                <w:sz w:val="20"/>
                <w:szCs w:val="20"/>
              </w:rPr>
            </w:pPr>
            <w:r>
              <w:rPr>
                <w:rFonts w:ascii="Poppins" w:hAnsi="Poppins" w:cs="Poppins" w:eastAsiaTheme="majorEastAsia"/>
                <w:sz w:val="20"/>
                <w:szCs w:val="20"/>
              </w:rPr>
              <w:t>2.12</w:t>
            </w:r>
          </w:p>
        </w:tc>
        <w:tc>
          <w:tcPr>
            <w:tcW w:w="1490" w:type="dxa"/>
            <w:shd w:val="clear" w:color="auto" w:fill="F2F2F2" w:themeFill="background1" w:themeFillShade="F2"/>
            <w:vAlign w:val="center"/>
          </w:tcPr>
          <w:p w:rsidRPr="00D35624" w:rsidR="00B31BA7" w:rsidP="001B36EE" w:rsidRDefault="00A72612" w14:paraId="55253FFF" w14:textId="758FA976">
            <w:pPr>
              <w:jc w:val="center"/>
              <w:rPr>
                <w:rFonts w:ascii="Poppins" w:hAnsi="Poppins" w:cs="Poppins" w:eastAsiaTheme="majorEastAsia"/>
                <w:sz w:val="20"/>
                <w:szCs w:val="20"/>
              </w:rPr>
            </w:pPr>
            <w:r>
              <w:rPr>
                <w:rFonts w:ascii="Poppins" w:hAnsi="Poppins" w:cs="Poppins" w:eastAsiaTheme="majorEastAsia"/>
                <w:sz w:val="20"/>
                <w:szCs w:val="20"/>
              </w:rPr>
              <w:t>2</w:t>
            </w:r>
          </w:p>
        </w:tc>
        <w:tc>
          <w:tcPr>
            <w:tcW w:w="1489" w:type="dxa"/>
            <w:shd w:val="clear" w:color="auto" w:fill="F2F2F2" w:themeFill="background1" w:themeFillShade="F2"/>
            <w:vAlign w:val="center"/>
          </w:tcPr>
          <w:p w:rsidRPr="00D35624" w:rsidR="00B31BA7" w:rsidP="001B36EE" w:rsidRDefault="00A72612" w14:paraId="111504CA" w14:textId="19BEC28B">
            <w:pPr>
              <w:jc w:val="center"/>
              <w:rPr>
                <w:rFonts w:ascii="Poppins" w:hAnsi="Poppins" w:cs="Poppins" w:eastAsiaTheme="majorEastAsia"/>
                <w:sz w:val="20"/>
                <w:szCs w:val="20"/>
              </w:rPr>
            </w:pPr>
            <w:r>
              <w:rPr>
                <w:rFonts w:ascii="Poppins" w:hAnsi="Poppins" w:cs="Poppins" w:eastAsiaTheme="majorEastAsia"/>
                <w:sz w:val="20"/>
                <w:szCs w:val="20"/>
              </w:rPr>
              <w:t>4.24</w:t>
            </w:r>
          </w:p>
        </w:tc>
        <w:tc>
          <w:tcPr>
            <w:tcW w:w="1490" w:type="dxa"/>
            <w:shd w:val="clear" w:color="auto" w:fill="F2F2F2" w:themeFill="background1" w:themeFillShade="F2"/>
            <w:vAlign w:val="center"/>
          </w:tcPr>
          <w:p w:rsidRPr="00A72612" w:rsidR="00B31BA7" w:rsidP="001B36EE" w:rsidRDefault="00A72612" w14:paraId="2D8DE3CF" w14:textId="7ABB0FF5">
            <w:pPr>
              <w:jc w:val="center"/>
              <w:rPr>
                <w:rFonts w:ascii="Poppins" w:hAnsi="Poppins" w:cs="Poppins" w:eastAsiaTheme="majorEastAsia"/>
                <w:sz w:val="16"/>
                <w:szCs w:val="16"/>
              </w:rPr>
            </w:pPr>
            <w:r>
              <w:rPr>
                <w:rFonts w:ascii="Poppins" w:hAnsi="Poppins" w:cs="Poppins" w:eastAsiaTheme="majorEastAsia"/>
                <w:sz w:val="16"/>
                <w:szCs w:val="16"/>
              </w:rPr>
              <w:t xml:space="preserve">Baseline + </w:t>
            </w:r>
            <w:r w:rsidR="00FC020F">
              <w:rPr>
                <w:rFonts w:ascii="Poppins" w:hAnsi="Poppins" w:cs="Poppins" w:eastAsiaTheme="majorEastAsia"/>
                <w:sz w:val="16"/>
                <w:szCs w:val="16"/>
              </w:rPr>
              <w:br/>
            </w:r>
            <w:r>
              <w:rPr>
                <w:rFonts w:ascii="Poppins" w:hAnsi="Poppins" w:cs="Poppins" w:eastAsiaTheme="majorEastAsia"/>
                <w:sz w:val="16"/>
                <w:szCs w:val="16"/>
              </w:rPr>
              <w:t>mid-course</w:t>
            </w:r>
          </w:p>
        </w:tc>
      </w:tr>
      <w:tr w:rsidRPr="00D35624" w:rsidR="00B31BA7" w:rsidTr="00FC020F" w14:paraId="7FE61950" w14:textId="77777777">
        <w:trPr>
          <w:trHeight w:val="907"/>
        </w:trPr>
        <w:tc>
          <w:tcPr>
            <w:tcW w:w="3005" w:type="dxa"/>
            <w:shd w:val="clear" w:color="auto" w:fill="A4D6EF"/>
            <w:vAlign w:val="center"/>
          </w:tcPr>
          <w:p w:rsidRPr="00BA76EE" w:rsidR="00B31BA7" w:rsidP="001B36EE" w:rsidRDefault="00FE3440" w14:paraId="5B84786E" w14:textId="36A4A348">
            <w:pPr>
              <w:jc w:val="center"/>
              <w:rPr>
                <w:rFonts w:ascii="Poppins" w:hAnsi="Poppins" w:cs="Poppins" w:eastAsiaTheme="majorEastAsia"/>
                <w:b/>
                <w:bCs/>
                <w:sz w:val="20"/>
                <w:szCs w:val="20"/>
                <w:vertAlign w:val="superscript"/>
              </w:rPr>
            </w:pPr>
            <w:r w:rsidRPr="00865900">
              <w:rPr>
                <w:rFonts w:ascii="Poppins" w:hAnsi="Poppins" w:cs="Poppins" w:eastAsiaTheme="majorEastAsia"/>
                <w:b/>
                <w:bCs/>
                <w:sz w:val="20"/>
                <w:szCs w:val="20"/>
              </w:rPr>
              <w:t>LFT</w:t>
            </w:r>
            <w:r w:rsidR="00211CB6">
              <w:rPr>
                <w:rFonts w:ascii="Poppins" w:hAnsi="Poppins" w:cs="Poppins" w:eastAsiaTheme="majorEastAsia"/>
                <w:b/>
                <w:bCs/>
                <w:sz w:val="20"/>
                <w:szCs w:val="20"/>
              </w:rPr>
              <w:fldChar w:fldCharType="begin"/>
            </w:r>
            <w:r w:rsidR="00211CB6">
              <w:rPr>
                <w:rFonts w:ascii="Poppins" w:hAnsi="Poppins" w:cs="Poppins" w:eastAsiaTheme="majorEastAsia"/>
                <w:b/>
                <w:bCs/>
                <w:sz w:val="20"/>
                <w:szCs w:val="20"/>
              </w:rPr>
              <w:instrText xml:space="preserve"> ADDIN EN.CITE &lt;EndNote&gt;&lt;Cite&gt;&lt;Author&gt;Akhtar&lt;/Author&gt;&lt;Year&gt;2014&lt;/Year&gt;&lt;RecNum&gt;31228&lt;/RecNum&gt;&lt;DisplayText&gt;&lt;style face="superscript"&gt;(Akhtar, 2014)&lt;/style&gt;&lt;/DisplayText&gt;&lt;record&gt;&lt;rec-number&gt;31228&lt;/rec-number&gt;&lt;foreign-keys&gt;&lt;key app="EN" db-id="f5f5va0252p5fee95pj55es3tdereta29dxz" timestamp="1778144930"&gt;31228&lt;/key&gt;&lt;/foreign-keys&gt;&lt;ref-type name="Journal Article"&gt;17&lt;/ref-type&gt;&lt;contributors&gt;&lt;authors&gt;&lt;author&gt;Akhtar, W.&lt;/author&gt;&lt;author&gt;Chung, Y.&lt;/author&gt;&lt;/authors&gt;&lt;/contributors&gt;&lt;auth-address&gt;St Bartholomew&amp;apos;s Hospital.&lt;/auth-address&gt;&lt;titles&gt;&lt;title&gt;Saving the NHS one blood test at a time&lt;/title&gt;&lt;secondary-title&gt;BMJ Qual Improv Rep&lt;/secondary-title&gt;&lt;/titles&gt;&lt;periodical&gt;&lt;full-title&gt;BMJ Qual Improv Rep&lt;/full-title&gt;&lt;/periodical&gt;&lt;volume&gt;2&lt;/volume&gt;&lt;number&gt;2&lt;/number&gt;&lt;edition&gt;20140221&lt;/edition&gt;&lt;dates&gt;&lt;year&gt;2014&lt;/year&gt;&lt;/dates&gt;&lt;isbn&gt;2050-1315 (Print)&amp;#xD;2050-1315&lt;/isbn&gt;&lt;accession-num&gt;26734249&lt;/accession-num&gt;&lt;urls&gt;&lt;/urls&gt;&lt;custom2&gt;PMC4663853&lt;/custom2&gt;&lt;electronic-resource-num&gt;10.1136/bmjquality.u204012.w1749&lt;/electronic-resource-num&gt;&lt;remote-database-provider&gt;NLM&lt;/remote-database-provider&gt;&lt;language&gt;eng&lt;/language&gt;&lt;/record&gt;&lt;/Cite&gt;&lt;/EndNote&gt;</w:instrText>
            </w:r>
            <w:r w:rsidR="00211CB6">
              <w:rPr>
                <w:rFonts w:ascii="Poppins" w:hAnsi="Poppins" w:cs="Poppins" w:eastAsiaTheme="majorEastAsia"/>
                <w:b/>
                <w:bCs/>
                <w:sz w:val="20"/>
                <w:szCs w:val="20"/>
              </w:rPr>
              <w:fldChar w:fldCharType="separate"/>
            </w:r>
            <w:r w:rsidRPr="00211CB6" w:rsidR="00211CB6">
              <w:rPr>
                <w:rFonts w:ascii="Poppins" w:hAnsi="Poppins" w:cs="Poppins" w:eastAsiaTheme="majorEastAsia"/>
                <w:b/>
                <w:bCs/>
                <w:noProof/>
                <w:sz w:val="20"/>
                <w:szCs w:val="20"/>
                <w:vertAlign w:val="superscript"/>
              </w:rPr>
              <w:t>(Akhtar, 2014)</w:t>
            </w:r>
            <w:r w:rsidR="00211CB6">
              <w:rPr>
                <w:rFonts w:ascii="Poppins" w:hAnsi="Poppins" w:cs="Poppins" w:eastAsiaTheme="majorEastAsia"/>
                <w:b/>
                <w:bCs/>
                <w:sz w:val="20"/>
                <w:szCs w:val="20"/>
              </w:rPr>
              <w:fldChar w:fldCharType="end"/>
            </w:r>
          </w:p>
        </w:tc>
        <w:tc>
          <w:tcPr>
            <w:tcW w:w="1489" w:type="dxa"/>
            <w:shd w:val="clear" w:color="auto" w:fill="F2F2F2" w:themeFill="background1" w:themeFillShade="F2"/>
            <w:vAlign w:val="center"/>
          </w:tcPr>
          <w:p w:rsidRPr="00D35624" w:rsidR="00B31BA7" w:rsidP="001B36EE" w:rsidRDefault="00A72612" w14:paraId="4DBF7159" w14:textId="48D2EA86">
            <w:pPr>
              <w:jc w:val="center"/>
              <w:rPr>
                <w:rFonts w:ascii="Poppins" w:hAnsi="Poppins" w:cs="Poppins" w:eastAsiaTheme="majorEastAsia"/>
                <w:sz w:val="20"/>
                <w:szCs w:val="20"/>
              </w:rPr>
            </w:pPr>
            <w:r>
              <w:rPr>
                <w:rFonts w:ascii="Poppins" w:hAnsi="Poppins" w:cs="Poppins" w:eastAsiaTheme="majorEastAsia"/>
                <w:sz w:val="20"/>
                <w:szCs w:val="20"/>
              </w:rPr>
              <w:t>2.78</w:t>
            </w:r>
          </w:p>
        </w:tc>
        <w:tc>
          <w:tcPr>
            <w:tcW w:w="1490" w:type="dxa"/>
            <w:shd w:val="clear" w:color="auto" w:fill="F2F2F2" w:themeFill="background1" w:themeFillShade="F2"/>
            <w:vAlign w:val="center"/>
          </w:tcPr>
          <w:p w:rsidRPr="00D35624" w:rsidR="00B31BA7" w:rsidP="001B36EE" w:rsidRDefault="00A72612" w14:paraId="446C3C6C" w14:textId="77EDC637">
            <w:pPr>
              <w:jc w:val="center"/>
              <w:rPr>
                <w:rFonts w:ascii="Poppins" w:hAnsi="Poppins" w:cs="Poppins" w:eastAsiaTheme="majorEastAsia"/>
                <w:sz w:val="20"/>
                <w:szCs w:val="20"/>
              </w:rPr>
            </w:pPr>
            <w:r>
              <w:rPr>
                <w:rFonts w:ascii="Poppins" w:hAnsi="Poppins" w:cs="Poppins" w:eastAsiaTheme="majorEastAsia"/>
                <w:sz w:val="20"/>
                <w:szCs w:val="20"/>
              </w:rPr>
              <w:t>14</w:t>
            </w:r>
          </w:p>
        </w:tc>
        <w:tc>
          <w:tcPr>
            <w:tcW w:w="1489" w:type="dxa"/>
            <w:shd w:val="clear" w:color="auto" w:fill="F2F2F2" w:themeFill="background1" w:themeFillShade="F2"/>
            <w:vAlign w:val="center"/>
          </w:tcPr>
          <w:p w:rsidRPr="00D35624" w:rsidR="00B31BA7" w:rsidP="001B36EE" w:rsidRDefault="00A72612" w14:paraId="0756D3F4" w14:textId="76EF3AE1">
            <w:pPr>
              <w:jc w:val="center"/>
              <w:rPr>
                <w:rFonts w:ascii="Poppins" w:hAnsi="Poppins" w:cs="Poppins" w:eastAsiaTheme="majorEastAsia"/>
                <w:sz w:val="20"/>
                <w:szCs w:val="20"/>
              </w:rPr>
            </w:pPr>
            <w:r>
              <w:rPr>
                <w:rFonts w:ascii="Poppins" w:hAnsi="Poppins" w:cs="Poppins" w:eastAsiaTheme="majorEastAsia"/>
                <w:sz w:val="20"/>
                <w:szCs w:val="20"/>
              </w:rPr>
              <w:t>38.92</w:t>
            </w:r>
          </w:p>
        </w:tc>
        <w:tc>
          <w:tcPr>
            <w:tcW w:w="1490" w:type="dxa"/>
            <w:shd w:val="clear" w:color="auto" w:fill="F2F2F2" w:themeFill="background1" w:themeFillShade="F2"/>
            <w:vAlign w:val="center"/>
          </w:tcPr>
          <w:p w:rsidRPr="00A72612" w:rsidR="00B31BA7" w:rsidP="001B36EE" w:rsidRDefault="00A72612" w14:paraId="040CF380" w14:textId="76DA4F40">
            <w:pPr>
              <w:jc w:val="center"/>
              <w:rPr>
                <w:rFonts w:ascii="Poppins" w:hAnsi="Poppins" w:cs="Poppins" w:eastAsiaTheme="majorEastAsia"/>
                <w:sz w:val="16"/>
                <w:szCs w:val="16"/>
              </w:rPr>
            </w:pPr>
            <w:r>
              <w:rPr>
                <w:rFonts w:ascii="Poppins" w:hAnsi="Poppins" w:cs="Poppins" w:eastAsiaTheme="majorEastAsia"/>
                <w:sz w:val="16"/>
                <w:szCs w:val="16"/>
              </w:rPr>
              <w:t>Baseline</w:t>
            </w:r>
          </w:p>
        </w:tc>
      </w:tr>
      <w:tr w:rsidRPr="00D35624" w:rsidR="00991949" w:rsidTr="00865900" w14:paraId="147FE554" w14:textId="77777777">
        <w:trPr>
          <w:trHeight w:val="794"/>
        </w:trPr>
        <w:tc>
          <w:tcPr>
            <w:tcW w:w="3005" w:type="dxa"/>
            <w:shd w:val="clear" w:color="auto" w:fill="0023C8"/>
            <w:vAlign w:val="center"/>
          </w:tcPr>
          <w:p w:rsidRPr="00C65A10" w:rsidR="00991949" w:rsidP="001B36EE" w:rsidRDefault="00C65A10" w14:paraId="2C401600" w14:textId="4B383B1E">
            <w:pPr>
              <w:jc w:val="center"/>
              <w:rPr>
                <w:rFonts w:ascii="Poppins" w:hAnsi="Poppins" w:cs="Poppins" w:eastAsiaTheme="majorEastAsia"/>
                <w:b/>
                <w:bCs/>
                <w:sz w:val="20"/>
                <w:szCs w:val="20"/>
              </w:rPr>
            </w:pPr>
            <w:r>
              <w:rPr>
                <w:rFonts w:ascii="Poppins" w:hAnsi="Poppins" w:cs="Poppins" w:eastAsiaTheme="majorEastAsia"/>
                <w:b/>
                <w:bCs/>
                <w:sz w:val="20"/>
                <w:szCs w:val="20"/>
              </w:rPr>
              <w:t>Total labs/monitoring costs per patient</w:t>
            </w:r>
          </w:p>
        </w:tc>
        <w:tc>
          <w:tcPr>
            <w:tcW w:w="5958" w:type="dxa"/>
            <w:gridSpan w:val="4"/>
            <w:shd w:val="clear" w:color="auto" w:fill="0023C8"/>
            <w:vAlign w:val="center"/>
          </w:tcPr>
          <w:p w:rsidRPr="00C65A10" w:rsidR="00991949" w:rsidP="001B36EE" w:rsidRDefault="00064B52" w14:paraId="672F1685" w14:textId="1991DB06">
            <w:pPr>
              <w:jc w:val="center"/>
              <w:rPr>
                <w:rFonts w:ascii="Poppins" w:hAnsi="Poppins" w:cs="Poppins" w:eastAsiaTheme="majorEastAsia"/>
                <w:b/>
                <w:bCs/>
                <w:sz w:val="20"/>
                <w:szCs w:val="20"/>
              </w:rPr>
            </w:pPr>
            <w:r>
              <w:rPr>
                <w:rFonts w:ascii="Poppins" w:hAnsi="Poppins" w:cs="Poppins" w:eastAsiaTheme="majorEastAsia"/>
                <w:b/>
                <w:bCs/>
                <w:sz w:val="20"/>
                <w:szCs w:val="20"/>
              </w:rPr>
              <w:t>80.26</w:t>
            </w:r>
          </w:p>
        </w:tc>
      </w:tr>
    </w:tbl>
    <w:p w:rsidR="00BE5D70" w:rsidP="001B36EE" w:rsidRDefault="00BE5D70" w14:paraId="14FB3E7F" w14:textId="77777777">
      <w:pPr>
        <w:spacing w:line="240" w:lineRule="auto"/>
      </w:pPr>
    </w:p>
    <w:p w:rsidR="001B36EE" w:rsidRDefault="001B36EE" w14:paraId="6A4949BA" w14:textId="77777777">
      <w:pPr>
        <w:rPr>
          <w:rFonts w:ascii="Poppins" w:hAnsi="Poppins" w:cs="Poppins" w:eastAsiaTheme="majorEastAsia"/>
          <w:b/>
          <w:bCs/>
          <w:sz w:val="20"/>
          <w:szCs w:val="20"/>
        </w:rPr>
      </w:pPr>
      <w:r>
        <w:rPr>
          <w:rFonts w:ascii="Poppins" w:hAnsi="Poppins" w:cs="Poppins" w:eastAsiaTheme="majorEastAsia"/>
          <w:b/>
          <w:bCs/>
          <w:sz w:val="20"/>
          <w:szCs w:val="20"/>
        </w:rPr>
        <w:br w:type="page"/>
      </w:r>
    </w:p>
    <w:p w:rsidRPr="00156840" w:rsidR="00AE078F" w:rsidP="001B36EE" w:rsidRDefault="00D176D2" w14:paraId="13411950" w14:textId="044871FA">
      <w:pPr>
        <w:spacing w:before="120" w:line="240" w:lineRule="auto"/>
        <w:rPr>
          <w:rFonts w:ascii="Poppins" w:hAnsi="Poppins" w:cs="Poppins" w:eastAsiaTheme="majorEastAsia"/>
          <w:b/>
          <w:bCs/>
          <w:sz w:val="20"/>
          <w:szCs w:val="20"/>
        </w:rPr>
      </w:pPr>
      <w:r w:rsidRPr="00156840">
        <w:rPr>
          <w:rFonts w:ascii="Poppins" w:hAnsi="Poppins" w:cs="Poppins" w:eastAsiaTheme="majorEastAsia"/>
          <w:b/>
          <w:bCs/>
          <w:sz w:val="20"/>
          <w:szCs w:val="20"/>
        </w:rPr>
        <w:t>Costings summary</w:t>
      </w:r>
    </w:p>
    <w:tbl>
      <w:tblPr>
        <w:tblStyle w:val="TableGrid"/>
        <w:tblW w:w="8873" w:type="dxa"/>
        <w:tblBorders>
          <w:top w:val="none" w:color="auto" w:sz="0" w:space="0"/>
          <w:left w:val="none" w:color="auto" w:sz="0" w:space="0"/>
          <w:bottom w:val="none" w:color="auto" w:sz="0" w:space="0"/>
          <w:right w:val="none" w:color="auto" w:sz="0" w:space="0"/>
          <w:insideH w:val="single" w:color="FFFFFF" w:themeColor="background1" w:sz="8" w:space="0"/>
          <w:insideV w:val="single" w:color="FFFFFF" w:themeColor="background1" w:sz="8" w:space="0"/>
        </w:tblBorders>
        <w:tblLayout w:type="fixed"/>
        <w:tblLook w:val="04A0" w:firstRow="1" w:lastRow="0" w:firstColumn="1" w:lastColumn="0" w:noHBand="0" w:noVBand="1"/>
      </w:tblPr>
      <w:tblGrid>
        <w:gridCol w:w="3203"/>
        <w:gridCol w:w="1418"/>
        <w:gridCol w:w="1417"/>
        <w:gridCol w:w="1418"/>
        <w:gridCol w:w="1417"/>
      </w:tblGrid>
      <w:tr w:rsidRPr="00865900" w:rsidR="00D45D68" w:rsidTr="00FC020F" w14:paraId="600F582A" w14:textId="46DDE811">
        <w:trPr>
          <w:trHeight w:val="907"/>
        </w:trPr>
        <w:tc>
          <w:tcPr>
            <w:tcW w:w="3203" w:type="dxa"/>
            <w:shd w:val="clear" w:color="auto" w:fill="0096FF"/>
            <w:vAlign w:val="center"/>
          </w:tcPr>
          <w:p w:rsidRPr="00865900" w:rsidR="0062206C" w:rsidP="001B36EE" w:rsidRDefault="0062206C" w14:paraId="28281D76" w14:textId="3B4BEF5D">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Category</w:t>
            </w:r>
          </w:p>
        </w:tc>
        <w:tc>
          <w:tcPr>
            <w:tcW w:w="1418" w:type="dxa"/>
            <w:shd w:val="clear" w:color="auto" w:fill="0096FF"/>
            <w:vAlign w:val="center"/>
          </w:tcPr>
          <w:p w:rsidRPr="00865900" w:rsidR="0062206C" w:rsidP="001B36EE" w:rsidRDefault="0062206C" w14:paraId="25FEF7DC" w14:textId="0FB6EB31">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Per-patient</w:t>
            </w:r>
          </w:p>
        </w:tc>
        <w:tc>
          <w:tcPr>
            <w:tcW w:w="1417" w:type="dxa"/>
            <w:shd w:val="clear" w:color="auto" w:fill="0096FF"/>
            <w:vAlign w:val="center"/>
          </w:tcPr>
          <w:p w:rsidRPr="00865900" w:rsidR="0062206C" w:rsidP="001B36EE" w:rsidRDefault="0062206C" w14:paraId="41776B0B" w14:textId="1917AC94">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Annual volume</w:t>
            </w:r>
          </w:p>
        </w:tc>
        <w:tc>
          <w:tcPr>
            <w:tcW w:w="1418" w:type="dxa"/>
            <w:shd w:val="clear" w:color="auto" w:fill="0096FF"/>
            <w:vAlign w:val="center"/>
          </w:tcPr>
          <w:p w:rsidRPr="00865900" w:rsidR="0062206C" w:rsidP="001B36EE" w:rsidRDefault="0062206C" w14:paraId="1D5260B6" w14:textId="3ED52213">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Annual total</w:t>
            </w:r>
            <w:r w:rsidR="00354E14">
              <w:rPr>
                <w:rFonts w:ascii="Poppins" w:hAnsi="Poppins" w:cs="Poppins" w:eastAsiaTheme="majorEastAsia"/>
                <w:b/>
                <w:bCs/>
                <w:color w:val="FFFFFF" w:themeColor="background1"/>
                <w:sz w:val="20"/>
                <w:szCs w:val="20"/>
              </w:rPr>
              <w:t xml:space="preserve"> (£)</w:t>
            </w:r>
          </w:p>
        </w:tc>
        <w:tc>
          <w:tcPr>
            <w:tcW w:w="1417" w:type="dxa"/>
            <w:shd w:val="clear" w:color="auto" w:fill="0096FF"/>
            <w:vAlign w:val="center"/>
          </w:tcPr>
          <w:p w:rsidRPr="00865900" w:rsidR="0062206C" w:rsidP="001B36EE" w:rsidRDefault="0062206C" w14:paraId="4A1CB06A" w14:textId="2F4A5852">
            <w:pPr>
              <w:jc w:val="center"/>
              <w:rPr>
                <w:rFonts w:ascii="Poppins" w:hAnsi="Poppins" w:cs="Poppins" w:eastAsiaTheme="majorEastAsia"/>
                <w:b/>
                <w:bCs/>
                <w:color w:val="FFFFFF" w:themeColor="background1"/>
                <w:sz w:val="20"/>
                <w:szCs w:val="20"/>
              </w:rPr>
            </w:pPr>
            <w:r w:rsidRPr="00865900">
              <w:rPr>
                <w:rFonts w:ascii="Poppins" w:hAnsi="Poppins" w:cs="Poppins" w:eastAsiaTheme="majorEastAsia"/>
                <w:b/>
                <w:bCs/>
                <w:color w:val="FFFFFF" w:themeColor="background1"/>
                <w:sz w:val="20"/>
                <w:szCs w:val="20"/>
              </w:rPr>
              <w:t>Notes</w:t>
            </w:r>
          </w:p>
        </w:tc>
      </w:tr>
      <w:tr w:rsidRPr="00865900" w:rsidR="00D45D68" w:rsidTr="00FC020F" w14:paraId="3321EFC5" w14:textId="3785C82B">
        <w:trPr>
          <w:trHeight w:val="794"/>
        </w:trPr>
        <w:tc>
          <w:tcPr>
            <w:tcW w:w="3203" w:type="dxa"/>
            <w:shd w:val="clear" w:color="auto" w:fill="A4D6EF"/>
            <w:vAlign w:val="center"/>
          </w:tcPr>
          <w:p w:rsidRPr="00865900" w:rsidR="0062206C" w:rsidP="001B36EE" w:rsidRDefault="0062206C" w14:paraId="47B61B00" w14:textId="174433C3">
            <w:pPr>
              <w:jc w:val="center"/>
              <w:rPr>
                <w:rFonts w:ascii="Poppins" w:hAnsi="Poppins" w:cs="Poppins" w:eastAsiaTheme="majorEastAsia"/>
                <w:b/>
                <w:bCs/>
                <w:sz w:val="20"/>
                <w:szCs w:val="20"/>
              </w:rPr>
            </w:pPr>
            <w:r w:rsidRPr="00865900">
              <w:rPr>
                <w:rFonts w:ascii="Poppins" w:hAnsi="Poppins" w:cs="Poppins" w:eastAsiaTheme="majorEastAsia"/>
                <w:b/>
                <w:bCs/>
                <w:sz w:val="20"/>
                <w:szCs w:val="20"/>
              </w:rPr>
              <w:t>Drug pre-administration costs</w:t>
            </w:r>
          </w:p>
        </w:tc>
        <w:tc>
          <w:tcPr>
            <w:tcW w:w="1418" w:type="dxa"/>
            <w:shd w:val="clear" w:color="auto" w:fill="F2F2F2" w:themeFill="background1" w:themeFillShade="F2"/>
            <w:vAlign w:val="center"/>
          </w:tcPr>
          <w:p w:rsidRPr="00865900" w:rsidR="0062206C" w:rsidP="001B36EE" w:rsidRDefault="00064B52" w14:paraId="30369D60" w14:textId="4D0B9D60">
            <w:pPr>
              <w:jc w:val="center"/>
              <w:rPr>
                <w:rFonts w:ascii="Poppins" w:hAnsi="Poppins" w:cs="Poppins" w:eastAsiaTheme="majorEastAsia"/>
                <w:sz w:val="20"/>
                <w:szCs w:val="20"/>
              </w:rPr>
            </w:pPr>
            <w:r>
              <w:rPr>
                <w:rFonts w:ascii="Poppins" w:hAnsi="Poppins" w:cs="Poppins" w:eastAsiaTheme="majorEastAsia"/>
                <w:sz w:val="20"/>
                <w:szCs w:val="20"/>
              </w:rPr>
              <w:t>37</w:t>
            </w:r>
            <w:r w:rsidRPr="00865900" w:rsidR="00E217F0">
              <w:rPr>
                <w:rFonts w:ascii="Poppins" w:hAnsi="Poppins" w:cs="Poppins" w:eastAsiaTheme="majorEastAsia"/>
                <w:sz w:val="20"/>
                <w:szCs w:val="20"/>
              </w:rPr>
              <w:t>.</w:t>
            </w:r>
            <w:r>
              <w:rPr>
                <w:rFonts w:ascii="Poppins" w:hAnsi="Poppins" w:cs="Poppins" w:eastAsiaTheme="majorEastAsia"/>
                <w:sz w:val="20"/>
                <w:szCs w:val="20"/>
              </w:rPr>
              <w:t>68</w:t>
            </w:r>
          </w:p>
        </w:tc>
        <w:tc>
          <w:tcPr>
            <w:tcW w:w="1417" w:type="dxa"/>
            <w:shd w:val="clear" w:color="auto" w:fill="F2F2F2" w:themeFill="background1" w:themeFillShade="F2"/>
            <w:vAlign w:val="center"/>
          </w:tcPr>
          <w:p w:rsidRPr="00865900" w:rsidR="0062206C" w:rsidP="001B36EE" w:rsidRDefault="00E217F0" w14:paraId="3A404591" w14:textId="02836285">
            <w:pPr>
              <w:jc w:val="center"/>
              <w:rPr>
                <w:rFonts w:ascii="Poppins" w:hAnsi="Poppins" w:cs="Poppins" w:eastAsiaTheme="majorEastAsia"/>
                <w:sz w:val="20"/>
                <w:szCs w:val="20"/>
              </w:rPr>
            </w:pPr>
            <w:r w:rsidRPr="00865900">
              <w:rPr>
                <w:rFonts w:ascii="Poppins" w:hAnsi="Poppins" w:cs="Poppins" w:eastAsiaTheme="majorEastAsia"/>
                <w:sz w:val="20"/>
                <w:szCs w:val="20"/>
              </w:rPr>
              <w:t>6</w:t>
            </w:r>
          </w:p>
        </w:tc>
        <w:tc>
          <w:tcPr>
            <w:tcW w:w="1418" w:type="dxa"/>
            <w:shd w:val="clear" w:color="auto" w:fill="F2F2F2" w:themeFill="background1" w:themeFillShade="F2"/>
            <w:vAlign w:val="center"/>
          </w:tcPr>
          <w:p w:rsidRPr="00865900" w:rsidR="0062206C" w:rsidP="001B36EE" w:rsidRDefault="00064B52" w14:paraId="4EB98F69" w14:textId="07BCD840">
            <w:pPr>
              <w:jc w:val="center"/>
              <w:rPr>
                <w:rFonts w:ascii="Poppins" w:hAnsi="Poppins" w:cs="Poppins" w:eastAsiaTheme="majorEastAsia"/>
                <w:sz w:val="20"/>
                <w:szCs w:val="20"/>
              </w:rPr>
            </w:pPr>
            <w:r>
              <w:rPr>
                <w:rFonts w:ascii="Poppins" w:hAnsi="Poppins" w:cs="Poppins" w:eastAsiaTheme="majorEastAsia"/>
                <w:sz w:val="20"/>
                <w:szCs w:val="20"/>
              </w:rPr>
              <w:t>226</w:t>
            </w:r>
            <w:r w:rsidRPr="00865900" w:rsidR="00E217F0">
              <w:rPr>
                <w:rFonts w:ascii="Poppins" w:hAnsi="Poppins" w:cs="Poppins" w:eastAsiaTheme="majorEastAsia"/>
                <w:sz w:val="20"/>
                <w:szCs w:val="20"/>
              </w:rPr>
              <w:t>.</w:t>
            </w:r>
            <w:r>
              <w:rPr>
                <w:rFonts w:ascii="Poppins" w:hAnsi="Poppins" w:cs="Poppins" w:eastAsiaTheme="majorEastAsia"/>
                <w:sz w:val="20"/>
                <w:szCs w:val="20"/>
              </w:rPr>
              <w:t>08</w:t>
            </w:r>
          </w:p>
        </w:tc>
        <w:tc>
          <w:tcPr>
            <w:tcW w:w="1417" w:type="dxa"/>
            <w:shd w:val="clear" w:color="auto" w:fill="F2F2F2" w:themeFill="background1" w:themeFillShade="F2"/>
            <w:vAlign w:val="center"/>
          </w:tcPr>
          <w:p w:rsidRPr="00865900" w:rsidR="0062206C" w:rsidP="001B36EE" w:rsidRDefault="0062206C" w14:paraId="225CE7C6" w14:textId="77777777">
            <w:pPr>
              <w:jc w:val="center"/>
              <w:rPr>
                <w:rFonts w:ascii="Poppins" w:hAnsi="Poppins" w:cs="Poppins" w:eastAsiaTheme="majorEastAsia"/>
                <w:sz w:val="16"/>
                <w:szCs w:val="16"/>
              </w:rPr>
            </w:pPr>
          </w:p>
        </w:tc>
      </w:tr>
      <w:tr w:rsidRPr="00865900" w:rsidR="00D45D68" w:rsidTr="00FC020F" w14:paraId="7C514191" w14:textId="77777777">
        <w:trPr>
          <w:trHeight w:val="794"/>
        </w:trPr>
        <w:tc>
          <w:tcPr>
            <w:tcW w:w="3203" w:type="dxa"/>
            <w:shd w:val="clear" w:color="auto" w:fill="A4D6EF"/>
            <w:vAlign w:val="center"/>
          </w:tcPr>
          <w:p w:rsidRPr="00865900" w:rsidR="009D7BB0" w:rsidP="001B36EE" w:rsidRDefault="00C910CB" w14:paraId="4886EF5C" w14:textId="22908C2A">
            <w:pPr>
              <w:jc w:val="center"/>
              <w:rPr>
                <w:rFonts w:ascii="Poppins" w:hAnsi="Poppins" w:cs="Poppins" w:eastAsiaTheme="majorEastAsia"/>
                <w:b/>
                <w:bCs/>
                <w:i/>
                <w:iCs/>
                <w:sz w:val="20"/>
                <w:szCs w:val="20"/>
              </w:rPr>
            </w:pPr>
            <w:r w:rsidRPr="00865900">
              <w:rPr>
                <w:rFonts w:ascii="Poppins" w:hAnsi="Poppins" w:cs="Poppins" w:eastAsiaTheme="majorEastAsia"/>
                <w:b/>
                <w:bCs/>
                <w:i/>
                <w:iCs/>
                <w:sz w:val="20"/>
                <w:szCs w:val="20"/>
              </w:rPr>
              <w:t>Staffing</w:t>
            </w:r>
          </w:p>
        </w:tc>
        <w:tc>
          <w:tcPr>
            <w:tcW w:w="1418" w:type="dxa"/>
            <w:shd w:val="clear" w:color="auto" w:fill="F2F2F2" w:themeFill="background1" w:themeFillShade="F2"/>
            <w:vAlign w:val="center"/>
          </w:tcPr>
          <w:p w:rsidRPr="00865900" w:rsidR="009D7BB0" w:rsidP="001B36EE" w:rsidRDefault="00787FC2" w14:paraId="7B996AB8" w14:textId="7D27D3ED">
            <w:pPr>
              <w:jc w:val="center"/>
              <w:rPr>
                <w:rFonts w:ascii="Poppins" w:hAnsi="Poppins" w:cs="Poppins" w:eastAsiaTheme="majorEastAsia"/>
                <w:sz w:val="20"/>
                <w:szCs w:val="20"/>
              </w:rPr>
            </w:pPr>
            <w:r>
              <w:rPr>
                <w:rFonts w:ascii="Poppins" w:hAnsi="Poppins" w:cs="Poppins" w:eastAsiaTheme="majorEastAsia"/>
                <w:sz w:val="20"/>
                <w:szCs w:val="20"/>
              </w:rPr>
              <w:t>240.31</w:t>
            </w:r>
          </w:p>
        </w:tc>
        <w:tc>
          <w:tcPr>
            <w:tcW w:w="1417" w:type="dxa"/>
            <w:shd w:val="clear" w:color="auto" w:fill="F2F2F2" w:themeFill="background1" w:themeFillShade="F2"/>
            <w:vAlign w:val="center"/>
          </w:tcPr>
          <w:p w:rsidRPr="00865900" w:rsidR="009D7BB0" w:rsidP="001B36EE" w:rsidRDefault="00C679E0" w14:paraId="47A00DED" w14:textId="19A0B7A4">
            <w:pPr>
              <w:jc w:val="center"/>
              <w:rPr>
                <w:rFonts w:ascii="Poppins" w:hAnsi="Poppins" w:cs="Poppins" w:eastAsiaTheme="majorEastAsia"/>
                <w:sz w:val="20"/>
                <w:szCs w:val="20"/>
              </w:rPr>
            </w:pPr>
            <w:r w:rsidRPr="00865900">
              <w:rPr>
                <w:rFonts w:ascii="Poppins" w:hAnsi="Poppins" w:cs="Poppins" w:eastAsiaTheme="majorEastAsia"/>
                <w:sz w:val="20"/>
                <w:szCs w:val="20"/>
              </w:rPr>
              <w:t>6</w:t>
            </w:r>
          </w:p>
        </w:tc>
        <w:tc>
          <w:tcPr>
            <w:tcW w:w="1418" w:type="dxa"/>
            <w:shd w:val="clear" w:color="auto" w:fill="F2F2F2" w:themeFill="background1" w:themeFillShade="F2"/>
            <w:vAlign w:val="center"/>
          </w:tcPr>
          <w:p w:rsidRPr="00865900" w:rsidR="009D7BB0" w:rsidP="001B36EE" w:rsidRDefault="00787FC2" w14:paraId="62432B51" w14:textId="14D6DA1A">
            <w:pPr>
              <w:jc w:val="center"/>
              <w:rPr>
                <w:rFonts w:ascii="Poppins" w:hAnsi="Poppins" w:cs="Poppins" w:eastAsiaTheme="majorEastAsia"/>
                <w:sz w:val="20"/>
                <w:szCs w:val="20"/>
              </w:rPr>
            </w:pPr>
            <w:r>
              <w:rPr>
                <w:rFonts w:ascii="Poppins" w:hAnsi="Poppins" w:cs="Poppins" w:eastAsiaTheme="majorEastAsia"/>
                <w:sz w:val="20"/>
                <w:szCs w:val="20"/>
              </w:rPr>
              <w:t>1,441.86</w:t>
            </w:r>
          </w:p>
        </w:tc>
        <w:tc>
          <w:tcPr>
            <w:tcW w:w="1417" w:type="dxa"/>
            <w:shd w:val="clear" w:color="auto" w:fill="F2F2F2" w:themeFill="background1" w:themeFillShade="F2"/>
            <w:vAlign w:val="center"/>
          </w:tcPr>
          <w:p w:rsidRPr="00865900" w:rsidR="009D7BB0" w:rsidP="001B36EE" w:rsidRDefault="00C679E0" w14:paraId="45E1A3AF" w14:textId="3975323E">
            <w:pPr>
              <w:jc w:val="center"/>
              <w:rPr>
                <w:rFonts w:ascii="Poppins" w:hAnsi="Poppins" w:cs="Poppins" w:eastAsiaTheme="majorEastAsia"/>
                <w:sz w:val="16"/>
                <w:szCs w:val="16"/>
              </w:rPr>
            </w:pPr>
            <w:r w:rsidRPr="00865900">
              <w:rPr>
                <w:rFonts w:ascii="Poppins" w:hAnsi="Poppins" w:cs="Poppins" w:eastAsiaTheme="majorEastAsia"/>
                <w:sz w:val="16"/>
                <w:szCs w:val="16"/>
              </w:rPr>
              <w:t>Sum of roles</w:t>
            </w:r>
          </w:p>
        </w:tc>
      </w:tr>
      <w:tr w:rsidRPr="00865900" w:rsidR="00D45D68" w:rsidTr="00FC020F" w14:paraId="16ACD73C" w14:textId="77777777">
        <w:trPr>
          <w:trHeight w:val="794"/>
        </w:trPr>
        <w:tc>
          <w:tcPr>
            <w:tcW w:w="3203" w:type="dxa"/>
            <w:shd w:val="clear" w:color="auto" w:fill="A4D6EF"/>
            <w:vAlign w:val="center"/>
          </w:tcPr>
          <w:p w:rsidRPr="00865900" w:rsidR="009D7BB0" w:rsidP="001B36EE" w:rsidRDefault="00C910CB" w14:paraId="41BADA5F" w14:textId="69931D80">
            <w:pPr>
              <w:jc w:val="center"/>
              <w:rPr>
                <w:rFonts w:ascii="Poppins" w:hAnsi="Poppins" w:cs="Poppins" w:eastAsiaTheme="majorEastAsia"/>
                <w:b/>
                <w:bCs/>
                <w:i/>
                <w:iCs/>
                <w:sz w:val="20"/>
                <w:szCs w:val="20"/>
              </w:rPr>
            </w:pPr>
            <w:r w:rsidRPr="00865900">
              <w:rPr>
                <w:rFonts w:ascii="Poppins" w:hAnsi="Poppins" w:cs="Poppins" w:eastAsiaTheme="majorEastAsia"/>
                <w:b/>
                <w:bCs/>
                <w:i/>
                <w:iCs/>
                <w:sz w:val="20"/>
                <w:szCs w:val="20"/>
              </w:rPr>
              <w:t>Facilities</w:t>
            </w:r>
          </w:p>
        </w:tc>
        <w:tc>
          <w:tcPr>
            <w:tcW w:w="1418" w:type="dxa"/>
            <w:shd w:val="clear" w:color="auto" w:fill="F2F2F2" w:themeFill="background1" w:themeFillShade="F2"/>
            <w:vAlign w:val="center"/>
          </w:tcPr>
          <w:p w:rsidRPr="00865900" w:rsidR="009D7BB0" w:rsidP="001B36EE" w:rsidRDefault="00787FC2" w14:paraId="3858492D" w14:textId="55C9A7B3">
            <w:pPr>
              <w:jc w:val="center"/>
              <w:rPr>
                <w:rFonts w:ascii="Poppins" w:hAnsi="Poppins" w:cs="Poppins" w:eastAsiaTheme="majorEastAsia"/>
                <w:sz w:val="20"/>
                <w:szCs w:val="20"/>
              </w:rPr>
            </w:pPr>
            <w:r>
              <w:rPr>
                <w:rFonts w:ascii="Poppins" w:hAnsi="Poppins" w:cs="Poppins" w:eastAsiaTheme="majorEastAsia"/>
                <w:sz w:val="20"/>
                <w:szCs w:val="20"/>
              </w:rPr>
              <w:t>2,730.00</w:t>
            </w:r>
          </w:p>
        </w:tc>
        <w:tc>
          <w:tcPr>
            <w:tcW w:w="1417" w:type="dxa"/>
            <w:shd w:val="clear" w:color="auto" w:fill="F2F2F2" w:themeFill="background1" w:themeFillShade="F2"/>
            <w:vAlign w:val="center"/>
          </w:tcPr>
          <w:p w:rsidRPr="00865900" w:rsidR="009D7BB0" w:rsidP="001B36EE" w:rsidRDefault="00665928" w14:paraId="2DFC14F2" w14:textId="7E5764B7">
            <w:pPr>
              <w:jc w:val="center"/>
              <w:rPr>
                <w:rFonts w:ascii="Poppins" w:hAnsi="Poppins" w:cs="Poppins" w:eastAsiaTheme="majorEastAsia"/>
                <w:sz w:val="20"/>
                <w:szCs w:val="20"/>
              </w:rPr>
            </w:pPr>
            <w:r w:rsidRPr="00865900">
              <w:rPr>
                <w:rFonts w:ascii="Poppins" w:hAnsi="Poppins" w:cs="Poppins" w:eastAsiaTheme="majorEastAsia"/>
                <w:sz w:val="20"/>
                <w:szCs w:val="20"/>
              </w:rPr>
              <w:t>6</w:t>
            </w:r>
          </w:p>
        </w:tc>
        <w:tc>
          <w:tcPr>
            <w:tcW w:w="1418" w:type="dxa"/>
            <w:shd w:val="clear" w:color="auto" w:fill="F2F2F2" w:themeFill="background1" w:themeFillShade="F2"/>
            <w:vAlign w:val="center"/>
          </w:tcPr>
          <w:p w:rsidRPr="00865900" w:rsidR="009D7BB0" w:rsidP="001B36EE" w:rsidRDefault="00787FC2" w14:paraId="3ABC5A56" w14:textId="331E12D6">
            <w:pPr>
              <w:jc w:val="center"/>
              <w:rPr>
                <w:rFonts w:ascii="Poppins" w:hAnsi="Poppins" w:cs="Poppins" w:eastAsiaTheme="majorEastAsia"/>
                <w:sz w:val="20"/>
                <w:szCs w:val="20"/>
              </w:rPr>
            </w:pPr>
            <w:r>
              <w:rPr>
                <w:rFonts w:ascii="Poppins" w:hAnsi="Poppins" w:cs="Poppins" w:eastAsiaTheme="majorEastAsia"/>
                <w:sz w:val="20"/>
                <w:szCs w:val="20"/>
              </w:rPr>
              <w:t>16,380</w:t>
            </w:r>
          </w:p>
        </w:tc>
        <w:tc>
          <w:tcPr>
            <w:tcW w:w="1417" w:type="dxa"/>
            <w:shd w:val="clear" w:color="auto" w:fill="F2F2F2" w:themeFill="background1" w:themeFillShade="F2"/>
            <w:vAlign w:val="center"/>
          </w:tcPr>
          <w:p w:rsidRPr="00865900" w:rsidR="009D7BB0" w:rsidP="001B36EE" w:rsidRDefault="00665928" w14:paraId="66E26796" w14:textId="5246D5E0">
            <w:pPr>
              <w:jc w:val="center"/>
              <w:rPr>
                <w:rFonts w:ascii="Poppins" w:hAnsi="Poppins" w:cs="Poppins" w:eastAsiaTheme="majorEastAsia"/>
                <w:sz w:val="16"/>
                <w:szCs w:val="16"/>
              </w:rPr>
            </w:pPr>
            <w:r w:rsidRPr="00865900">
              <w:rPr>
                <w:rFonts w:ascii="Poppins" w:hAnsi="Poppins" w:cs="Poppins" w:eastAsiaTheme="majorEastAsia"/>
                <w:sz w:val="16"/>
                <w:szCs w:val="16"/>
              </w:rPr>
              <w:t>Infusion chair, consumables, estates</w:t>
            </w:r>
          </w:p>
        </w:tc>
      </w:tr>
      <w:tr w:rsidRPr="00865900" w:rsidR="00D45D68" w:rsidTr="00FC020F" w14:paraId="47BECC32" w14:textId="77777777">
        <w:trPr>
          <w:trHeight w:val="794"/>
        </w:trPr>
        <w:tc>
          <w:tcPr>
            <w:tcW w:w="3203" w:type="dxa"/>
            <w:shd w:val="clear" w:color="auto" w:fill="A4D6EF"/>
            <w:vAlign w:val="center"/>
          </w:tcPr>
          <w:p w:rsidRPr="00865900" w:rsidR="009D7BB0" w:rsidP="001B36EE" w:rsidRDefault="00C910CB" w14:paraId="2E71A2DC" w14:textId="6D13439B">
            <w:pPr>
              <w:jc w:val="center"/>
              <w:rPr>
                <w:rFonts w:ascii="Poppins" w:hAnsi="Poppins" w:cs="Poppins" w:eastAsiaTheme="majorEastAsia"/>
                <w:b/>
                <w:bCs/>
                <w:i/>
                <w:iCs/>
                <w:sz w:val="20"/>
                <w:szCs w:val="20"/>
              </w:rPr>
            </w:pPr>
            <w:r w:rsidRPr="00865900">
              <w:rPr>
                <w:rFonts w:ascii="Poppins" w:hAnsi="Poppins" w:cs="Poppins" w:eastAsiaTheme="majorEastAsia"/>
                <w:b/>
                <w:bCs/>
                <w:i/>
                <w:iCs/>
                <w:sz w:val="20"/>
                <w:szCs w:val="20"/>
              </w:rPr>
              <w:t>Labs/monitoring</w:t>
            </w:r>
          </w:p>
        </w:tc>
        <w:tc>
          <w:tcPr>
            <w:tcW w:w="1418" w:type="dxa"/>
            <w:shd w:val="clear" w:color="auto" w:fill="F2F2F2" w:themeFill="background1" w:themeFillShade="F2"/>
            <w:vAlign w:val="center"/>
          </w:tcPr>
          <w:p w:rsidRPr="00865900" w:rsidR="009D7BB0" w:rsidP="001B36EE" w:rsidRDefault="00665928" w14:paraId="5881A4CB" w14:textId="0CB70E39">
            <w:pPr>
              <w:jc w:val="center"/>
              <w:rPr>
                <w:rFonts w:ascii="Poppins" w:hAnsi="Poppins" w:cs="Poppins" w:eastAsiaTheme="majorEastAsia"/>
                <w:sz w:val="20"/>
                <w:szCs w:val="20"/>
              </w:rPr>
            </w:pPr>
            <w:r w:rsidRPr="00865900">
              <w:rPr>
                <w:rFonts w:ascii="Poppins" w:hAnsi="Poppins" w:cs="Poppins" w:eastAsiaTheme="majorEastAsia"/>
                <w:sz w:val="20"/>
                <w:szCs w:val="20"/>
              </w:rPr>
              <w:t>8</w:t>
            </w:r>
            <w:r w:rsidR="00787FC2">
              <w:rPr>
                <w:rFonts w:ascii="Poppins" w:hAnsi="Poppins" w:cs="Poppins" w:eastAsiaTheme="majorEastAsia"/>
                <w:sz w:val="20"/>
                <w:szCs w:val="20"/>
              </w:rPr>
              <w:t>0</w:t>
            </w:r>
            <w:r w:rsidRPr="00865900">
              <w:rPr>
                <w:rFonts w:ascii="Poppins" w:hAnsi="Poppins" w:cs="Poppins" w:eastAsiaTheme="majorEastAsia"/>
                <w:sz w:val="20"/>
                <w:szCs w:val="20"/>
              </w:rPr>
              <w:t>.</w:t>
            </w:r>
            <w:r w:rsidR="00787FC2">
              <w:rPr>
                <w:rFonts w:ascii="Poppins" w:hAnsi="Poppins" w:cs="Poppins" w:eastAsiaTheme="majorEastAsia"/>
                <w:sz w:val="20"/>
                <w:szCs w:val="20"/>
              </w:rPr>
              <w:t>2</w:t>
            </w:r>
            <w:r w:rsidRPr="00865900">
              <w:rPr>
                <w:rFonts w:ascii="Poppins" w:hAnsi="Poppins" w:cs="Poppins" w:eastAsiaTheme="majorEastAsia"/>
                <w:sz w:val="20"/>
                <w:szCs w:val="20"/>
              </w:rPr>
              <w:t>6</w:t>
            </w:r>
          </w:p>
        </w:tc>
        <w:tc>
          <w:tcPr>
            <w:tcW w:w="1417" w:type="dxa"/>
            <w:shd w:val="clear" w:color="auto" w:fill="F2F2F2" w:themeFill="background1" w:themeFillShade="F2"/>
            <w:vAlign w:val="center"/>
          </w:tcPr>
          <w:p w:rsidRPr="00865900" w:rsidR="009D7BB0" w:rsidP="001B36EE" w:rsidRDefault="00665928" w14:paraId="009BD58B" w14:textId="11602C9D">
            <w:pPr>
              <w:jc w:val="center"/>
              <w:rPr>
                <w:rFonts w:ascii="Poppins" w:hAnsi="Poppins" w:cs="Poppins" w:eastAsiaTheme="majorEastAsia"/>
                <w:sz w:val="20"/>
                <w:szCs w:val="20"/>
              </w:rPr>
            </w:pPr>
            <w:r w:rsidRPr="00865900">
              <w:rPr>
                <w:rFonts w:ascii="Poppins" w:hAnsi="Poppins" w:cs="Poppins" w:eastAsiaTheme="majorEastAsia"/>
                <w:sz w:val="20"/>
                <w:szCs w:val="20"/>
              </w:rPr>
              <w:t>6</w:t>
            </w:r>
          </w:p>
        </w:tc>
        <w:tc>
          <w:tcPr>
            <w:tcW w:w="1418" w:type="dxa"/>
            <w:shd w:val="clear" w:color="auto" w:fill="F2F2F2" w:themeFill="background1" w:themeFillShade="F2"/>
            <w:vAlign w:val="center"/>
          </w:tcPr>
          <w:p w:rsidRPr="00865900" w:rsidR="009D7BB0" w:rsidP="001B36EE" w:rsidRDefault="00787FC2" w14:paraId="755BE825" w14:textId="7AD13C97">
            <w:pPr>
              <w:jc w:val="center"/>
              <w:rPr>
                <w:rFonts w:ascii="Poppins" w:hAnsi="Poppins" w:cs="Poppins" w:eastAsiaTheme="majorEastAsia"/>
                <w:sz w:val="20"/>
                <w:szCs w:val="20"/>
              </w:rPr>
            </w:pPr>
            <w:r>
              <w:rPr>
                <w:rFonts w:ascii="Poppins" w:hAnsi="Poppins" w:cs="Poppins" w:eastAsiaTheme="majorEastAsia"/>
                <w:sz w:val="20"/>
                <w:szCs w:val="20"/>
              </w:rPr>
              <w:t>481.56</w:t>
            </w:r>
          </w:p>
        </w:tc>
        <w:tc>
          <w:tcPr>
            <w:tcW w:w="1417" w:type="dxa"/>
            <w:shd w:val="clear" w:color="auto" w:fill="F2F2F2" w:themeFill="background1" w:themeFillShade="F2"/>
            <w:vAlign w:val="center"/>
          </w:tcPr>
          <w:p w:rsidRPr="00865900" w:rsidR="009D7BB0" w:rsidP="001B36EE" w:rsidRDefault="00665928" w14:paraId="61E5CB8D" w14:textId="48855761">
            <w:pPr>
              <w:jc w:val="center"/>
              <w:rPr>
                <w:rFonts w:ascii="Poppins" w:hAnsi="Poppins" w:cs="Poppins" w:eastAsiaTheme="majorEastAsia"/>
                <w:sz w:val="16"/>
                <w:szCs w:val="16"/>
              </w:rPr>
            </w:pPr>
            <w:r w:rsidRPr="00865900">
              <w:rPr>
                <w:rFonts w:ascii="Poppins" w:hAnsi="Poppins" w:cs="Poppins" w:eastAsiaTheme="majorEastAsia"/>
                <w:sz w:val="16"/>
                <w:szCs w:val="16"/>
              </w:rPr>
              <w:t>FBC, U&amp;E</w:t>
            </w:r>
            <w:r w:rsidRPr="00865900" w:rsidR="00BF4B67">
              <w:rPr>
                <w:rFonts w:ascii="Poppins" w:hAnsi="Poppins" w:cs="Poppins" w:eastAsiaTheme="majorEastAsia"/>
                <w:sz w:val="16"/>
                <w:szCs w:val="16"/>
              </w:rPr>
              <w:t xml:space="preserve">, </w:t>
            </w:r>
            <w:r w:rsidR="00354E14">
              <w:rPr>
                <w:rFonts w:ascii="Poppins" w:hAnsi="Poppins" w:cs="Poppins" w:eastAsiaTheme="majorEastAsia"/>
                <w:sz w:val="16"/>
                <w:szCs w:val="16"/>
              </w:rPr>
              <w:t>etc</w:t>
            </w:r>
            <w:r w:rsidRPr="00865900" w:rsidR="00BF4B67">
              <w:rPr>
                <w:rFonts w:ascii="Poppins" w:hAnsi="Poppins" w:cs="Poppins" w:eastAsiaTheme="majorEastAsia"/>
                <w:sz w:val="16"/>
                <w:szCs w:val="16"/>
              </w:rPr>
              <w:t>.</w:t>
            </w:r>
          </w:p>
        </w:tc>
      </w:tr>
      <w:tr w:rsidRPr="00865900" w:rsidR="00D45D68" w:rsidTr="00FC020F" w14:paraId="0E38FA6D" w14:textId="7BA061E8">
        <w:trPr>
          <w:trHeight w:val="794"/>
        </w:trPr>
        <w:tc>
          <w:tcPr>
            <w:tcW w:w="3203" w:type="dxa"/>
            <w:shd w:val="clear" w:color="auto" w:fill="0023C8"/>
            <w:vAlign w:val="center"/>
          </w:tcPr>
          <w:p w:rsidRPr="00865900" w:rsidR="0062206C" w:rsidP="001B36EE" w:rsidRDefault="0062206C" w14:paraId="6CC68D9A" w14:textId="0AD3F955">
            <w:pPr>
              <w:jc w:val="center"/>
              <w:rPr>
                <w:rFonts w:ascii="Poppins" w:hAnsi="Poppins" w:cs="Poppins" w:eastAsiaTheme="majorEastAsia"/>
                <w:b/>
                <w:bCs/>
                <w:sz w:val="20"/>
                <w:szCs w:val="20"/>
              </w:rPr>
            </w:pPr>
            <w:r w:rsidRPr="00865900">
              <w:rPr>
                <w:rFonts w:ascii="Poppins" w:hAnsi="Poppins" w:cs="Poppins" w:eastAsiaTheme="majorEastAsia"/>
                <w:b/>
                <w:bCs/>
                <w:sz w:val="20"/>
                <w:szCs w:val="20"/>
              </w:rPr>
              <w:t>TOTAL</w:t>
            </w:r>
          </w:p>
        </w:tc>
        <w:tc>
          <w:tcPr>
            <w:tcW w:w="1418" w:type="dxa"/>
            <w:shd w:val="clear" w:color="auto" w:fill="0023C8"/>
            <w:vAlign w:val="center"/>
          </w:tcPr>
          <w:p w:rsidRPr="00865900" w:rsidR="0062206C" w:rsidP="001B36EE" w:rsidRDefault="004B282C" w14:paraId="18334F53" w14:textId="416275D5">
            <w:pPr>
              <w:jc w:val="center"/>
              <w:rPr>
                <w:rFonts w:ascii="Poppins" w:hAnsi="Poppins" w:cs="Poppins" w:eastAsiaTheme="majorEastAsia"/>
                <w:b/>
                <w:bCs/>
                <w:sz w:val="20"/>
                <w:szCs w:val="20"/>
              </w:rPr>
            </w:pPr>
            <w:r>
              <w:rPr>
                <w:rFonts w:ascii="Poppins" w:hAnsi="Poppins" w:cs="Poppins" w:eastAsiaTheme="majorEastAsia"/>
                <w:b/>
                <w:bCs/>
                <w:sz w:val="20"/>
                <w:szCs w:val="20"/>
              </w:rPr>
              <w:t>£</w:t>
            </w:r>
            <w:r w:rsidR="00787FC2">
              <w:rPr>
                <w:rFonts w:ascii="Poppins" w:hAnsi="Poppins" w:cs="Poppins" w:eastAsiaTheme="majorEastAsia"/>
                <w:b/>
                <w:bCs/>
                <w:sz w:val="20"/>
                <w:szCs w:val="20"/>
              </w:rPr>
              <w:t>3,088.25</w:t>
            </w:r>
          </w:p>
        </w:tc>
        <w:tc>
          <w:tcPr>
            <w:tcW w:w="1417" w:type="dxa"/>
            <w:shd w:val="clear" w:color="auto" w:fill="0023C8"/>
            <w:vAlign w:val="center"/>
          </w:tcPr>
          <w:p w:rsidRPr="00865900" w:rsidR="0062206C" w:rsidP="001B36EE" w:rsidRDefault="00863060" w14:paraId="0376D8BB" w14:textId="2C148CDB">
            <w:pPr>
              <w:jc w:val="center"/>
              <w:rPr>
                <w:rFonts w:ascii="Poppins" w:hAnsi="Poppins" w:cs="Poppins" w:eastAsiaTheme="majorEastAsia"/>
                <w:b/>
                <w:bCs/>
                <w:sz w:val="20"/>
                <w:szCs w:val="20"/>
              </w:rPr>
            </w:pPr>
            <w:r w:rsidRPr="00865900">
              <w:rPr>
                <w:rFonts w:ascii="Poppins" w:hAnsi="Poppins" w:cs="Poppins" w:eastAsiaTheme="majorEastAsia"/>
                <w:b/>
                <w:bCs/>
                <w:sz w:val="20"/>
                <w:szCs w:val="20"/>
              </w:rPr>
              <w:t>6</w:t>
            </w:r>
          </w:p>
        </w:tc>
        <w:tc>
          <w:tcPr>
            <w:tcW w:w="1418" w:type="dxa"/>
            <w:shd w:val="clear" w:color="auto" w:fill="0023C8"/>
            <w:vAlign w:val="center"/>
          </w:tcPr>
          <w:p w:rsidRPr="00865900" w:rsidR="0062206C" w:rsidP="001B36EE" w:rsidRDefault="004B282C" w14:paraId="01652C8B" w14:textId="2079BAF3">
            <w:pPr>
              <w:jc w:val="center"/>
              <w:rPr>
                <w:rFonts w:ascii="Poppins" w:hAnsi="Poppins" w:cs="Poppins" w:eastAsiaTheme="majorEastAsia"/>
                <w:b/>
                <w:bCs/>
                <w:sz w:val="20"/>
                <w:szCs w:val="20"/>
              </w:rPr>
            </w:pPr>
            <w:r>
              <w:rPr>
                <w:rFonts w:ascii="Poppins" w:hAnsi="Poppins" w:cs="Poppins" w:eastAsiaTheme="majorEastAsia"/>
                <w:b/>
                <w:bCs/>
                <w:sz w:val="20"/>
                <w:szCs w:val="20"/>
              </w:rPr>
              <w:t>£</w:t>
            </w:r>
            <w:r w:rsidR="00787FC2">
              <w:rPr>
                <w:rFonts w:ascii="Poppins" w:hAnsi="Poppins" w:cs="Poppins" w:eastAsiaTheme="majorEastAsia"/>
                <w:b/>
                <w:bCs/>
                <w:sz w:val="20"/>
                <w:szCs w:val="20"/>
              </w:rPr>
              <w:t>18</w:t>
            </w:r>
            <w:r w:rsidRPr="00865900" w:rsidR="00863060">
              <w:rPr>
                <w:rFonts w:ascii="Poppins" w:hAnsi="Poppins" w:cs="Poppins" w:eastAsiaTheme="majorEastAsia"/>
                <w:b/>
                <w:bCs/>
                <w:sz w:val="20"/>
                <w:szCs w:val="20"/>
              </w:rPr>
              <w:t>,</w:t>
            </w:r>
            <w:r w:rsidR="00787FC2">
              <w:rPr>
                <w:rFonts w:ascii="Poppins" w:hAnsi="Poppins" w:cs="Poppins" w:eastAsiaTheme="majorEastAsia"/>
                <w:b/>
                <w:bCs/>
                <w:sz w:val="20"/>
                <w:szCs w:val="20"/>
              </w:rPr>
              <w:t>529.50</w:t>
            </w:r>
          </w:p>
        </w:tc>
        <w:tc>
          <w:tcPr>
            <w:tcW w:w="1417" w:type="dxa"/>
            <w:shd w:val="clear" w:color="auto" w:fill="0023C8"/>
            <w:vAlign w:val="center"/>
          </w:tcPr>
          <w:p w:rsidRPr="00865900" w:rsidR="0062206C" w:rsidP="001B36EE" w:rsidRDefault="00863060" w14:paraId="52D8FC3D" w14:textId="13228212">
            <w:pPr>
              <w:jc w:val="center"/>
              <w:rPr>
                <w:rFonts w:ascii="Poppins" w:hAnsi="Poppins" w:cs="Poppins" w:eastAsiaTheme="majorEastAsia"/>
                <w:sz w:val="16"/>
                <w:szCs w:val="16"/>
              </w:rPr>
            </w:pPr>
            <w:r w:rsidRPr="00865900">
              <w:rPr>
                <w:rFonts w:ascii="Poppins" w:hAnsi="Poppins" w:cs="Poppins" w:eastAsiaTheme="majorEastAsia"/>
                <w:sz w:val="16"/>
                <w:szCs w:val="16"/>
              </w:rPr>
              <w:t>Total cost</w:t>
            </w:r>
          </w:p>
        </w:tc>
      </w:tr>
    </w:tbl>
    <w:p w:rsidR="00803CB0" w:rsidP="001B36EE" w:rsidRDefault="00803CB0" w14:paraId="6282EADB" w14:textId="77777777">
      <w:pPr>
        <w:spacing w:before="120" w:line="240" w:lineRule="auto"/>
        <w:rPr>
          <w:rFonts w:ascii="Poppins" w:hAnsi="Poppins" w:cs="Poppins" w:eastAsiaTheme="majorEastAsia"/>
          <w:sz w:val="20"/>
          <w:szCs w:val="20"/>
        </w:rPr>
      </w:pPr>
    </w:p>
    <w:p w:rsidR="00E412FF" w:rsidRDefault="00E412FF" w14:paraId="25BF84BE" w14:textId="77777777">
      <w:pPr>
        <w:rPr>
          <w:rFonts w:ascii="Poppins" w:hAnsi="Poppins" w:cs="Poppins" w:eastAsiaTheme="majorEastAsia"/>
          <w:b/>
          <w:bCs/>
          <w:color w:val="0023C8"/>
          <w:sz w:val="28"/>
          <w:szCs w:val="28"/>
        </w:rPr>
      </w:pPr>
      <w:r>
        <w:rPr>
          <w:rFonts w:ascii="Poppins" w:hAnsi="Poppins" w:cs="Poppins"/>
          <w:color w:val="0023C8"/>
        </w:rPr>
        <w:br w:type="page"/>
      </w:r>
    </w:p>
    <w:p w:rsidRPr="00803CB0" w:rsidR="0091047D" w:rsidP="001B36EE" w:rsidRDefault="00C143EC" w14:paraId="53D3FC1A" w14:textId="0C03FB6E">
      <w:pPr>
        <w:pStyle w:val="Heading1"/>
        <w:spacing w:before="0" w:line="240" w:lineRule="auto"/>
        <w:rPr>
          <w:rFonts w:ascii="Poppins" w:hAnsi="Poppins" w:cs="Poppins"/>
          <w:color w:val="0023C8"/>
        </w:rPr>
      </w:pPr>
      <w:bookmarkStart w:name="_Toc229391556" w:id="43"/>
      <w:r>
        <w:rPr>
          <w:rFonts w:ascii="Poppins" w:hAnsi="Poppins" w:cs="Poppins"/>
          <w:color w:val="0023C8"/>
        </w:rPr>
        <w:t>605</w:t>
      </w:r>
      <w:r w:rsidRPr="00D26607" w:rsidR="00E71BCF">
        <w:rPr>
          <w:rFonts w:ascii="Poppins" w:hAnsi="Poppins" w:cs="Poppins"/>
          <w:color w:val="0023C8"/>
        </w:rPr>
        <w:t>R</w:t>
      </w:r>
      <w:r w:rsidRPr="00D26607" w:rsidR="00183369">
        <w:rPr>
          <w:rFonts w:ascii="Poppins" w:hAnsi="Poppins" w:cs="Poppins"/>
          <w:color w:val="0023C8"/>
        </w:rPr>
        <w:t>EFERENCES</w:t>
      </w:r>
      <w:bookmarkEnd w:id="43"/>
      <w:r w:rsidRPr="00803CB0" w:rsidR="00516617">
        <w:rPr>
          <w:rFonts w:ascii="Poppins" w:hAnsi="Poppins" w:cs="Poppins"/>
          <w:color w:val="0023C8"/>
        </w:rPr>
        <w:t xml:space="preserve"> </w:t>
      </w:r>
    </w:p>
    <w:p w:rsidRPr="001B36EE" w:rsidR="00FF52E1" w:rsidP="001B36EE" w:rsidRDefault="00A614E8" w14:paraId="5CA7FD5E" w14:textId="5DE09975">
      <w:pPr>
        <w:pStyle w:val="EndNoteBibliography"/>
        <w:spacing w:before="60" w:after="60"/>
        <w:rPr>
          <w:rFonts w:ascii="Arial" w:hAnsi="Arial" w:cs="Arial"/>
          <w:b/>
          <w:bCs/>
          <w:szCs w:val="20"/>
        </w:rPr>
        <w:sectPr w:rsidRPr="001B36EE" w:rsidR="00FF52E1" w:rsidSect="00E412FF">
          <w:type w:val="continuous"/>
          <w:pgSz w:w="12240" w:h="15840" w:orient="portrait"/>
          <w:pgMar w:top="1276" w:right="1800" w:bottom="1276" w:left="1800" w:header="720" w:footer="720" w:gutter="0"/>
          <w:pgNumType w:start="38"/>
          <w:cols w:space="720"/>
          <w:docGrid w:linePitch="360"/>
        </w:sectPr>
      </w:pPr>
      <w:r w:rsidRPr="001B36EE">
        <w:rPr>
          <w:rFonts w:ascii="Poppins" w:hAnsi="Poppins" w:cs="Poppins"/>
          <w:b/>
          <w:bCs/>
          <w:szCs w:val="20"/>
        </w:rPr>
        <w:t>Please contact Sanofi Medical Information for any references unable to be sourced</w:t>
      </w:r>
    </w:p>
    <w:p w:rsidRPr="001B36EE" w:rsidR="00211CB6" w:rsidP="001B36EE" w:rsidRDefault="0091047D" w14:paraId="3925B7E5" w14:textId="77777777">
      <w:pPr>
        <w:pStyle w:val="EndNoteBibliography"/>
        <w:spacing w:after="0"/>
        <w:rPr>
          <w:rFonts w:ascii="Poppins" w:hAnsi="Poppins" w:cs="Poppins"/>
          <w:sz w:val="16"/>
          <w:szCs w:val="18"/>
        </w:rPr>
      </w:pPr>
      <w:r w:rsidRPr="001B36EE">
        <w:rPr>
          <w:rFonts w:ascii="Poppins" w:hAnsi="Poppins" w:cs="Poppins"/>
          <w:sz w:val="12"/>
          <w:szCs w:val="12"/>
        </w:rPr>
        <w:fldChar w:fldCharType="begin"/>
      </w:r>
      <w:r w:rsidRPr="001B36EE">
        <w:rPr>
          <w:rFonts w:ascii="Poppins" w:hAnsi="Poppins" w:cs="Poppins"/>
          <w:sz w:val="12"/>
          <w:szCs w:val="12"/>
        </w:rPr>
        <w:instrText xml:space="preserve"> ADDIN EN.REFLIST </w:instrText>
      </w:r>
      <w:r w:rsidRPr="001B36EE">
        <w:rPr>
          <w:rFonts w:ascii="Poppins" w:hAnsi="Poppins" w:cs="Poppins"/>
          <w:sz w:val="12"/>
          <w:szCs w:val="12"/>
        </w:rPr>
        <w:fldChar w:fldCharType="separate"/>
      </w:r>
      <w:r w:rsidRPr="001B36EE" w:rsidR="00211CB6">
        <w:rPr>
          <w:rFonts w:ascii="Poppins" w:hAnsi="Poppins" w:cs="Poppins"/>
          <w:sz w:val="16"/>
          <w:szCs w:val="18"/>
        </w:rPr>
        <w:t>TZIELD® (teplizumab) UK Summary of Product Characteristics. 2025</w:t>
      </w:r>
    </w:p>
    <w:p w:rsidRPr="001B36EE" w:rsidR="00211CB6" w:rsidP="001B36EE" w:rsidRDefault="00211CB6" w14:paraId="3AFF95F1" w14:textId="77777777">
      <w:pPr>
        <w:pStyle w:val="EndNoteBibliography"/>
        <w:spacing w:after="0"/>
        <w:rPr>
          <w:rFonts w:ascii="Poppins" w:hAnsi="Poppins" w:cs="Poppins"/>
          <w:sz w:val="16"/>
          <w:szCs w:val="18"/>
        </w:rPr>
      </w:pPr>
      <w:r w:rsidRPr="001B36EE">
        <w:rPr>
          <w:rFonts w:ascii="Poppins" w:hAnsi="Poppins" w:cs="Poppins"/>
          <w:sz w:val="16"/>
          <w:szCs w:val="18"/>
        </w:rPr>
        <w:t>Akhtar W</w:t>
      </w:r>
      <w:r w:rsidRPr="001B36EE">
        <w:rPr>
          <w:rFonts w:ascii="Poppins" w:hAnsi="Poppins" w:cs="Poppins"/>
          <w:i/>
          <w:sz w:val="16"/>
          <w:szCs w:val="18"/>
        </w:rPr>
        <w:t>, et al.</w:t>
      </w:r>
      <w:r w:rsidRPr="001B36EE">
        <w:rPr>
          <w:rFonts w:ascii="Poppins" w:hAnsi="Poppins" w:cs="Poppins"/>
          <w:sz w:val="16"/>
          <w:szCs w:val="18"/>
        </w:rPr>
        <w:t xml:space="preserve"> Saving the NHS one blood test at a time. </w:t>
      </w:r>
      <w:r w:rsidRPr="001B36EE">
        <w:rPr>
          <w:rFonts w:ascii="Poppins" w:hAnsi="Poppins" w:cs="Poppins"/>
          <w:i/>
          <w:sz w:val="16"/>
          <w:szCs w:val="18"/>
        </w:rPr>
        <w:t>BMJ Qual Improv Rep</w:t>
      </w:r>
      <w:r w:rsidRPr="001B36EE">
        <w:rPr>
          <w:rFonts w:ascii="Poppins" w:hAnsi="Poppins" w:cs="Poppins"/>
          <w:sz w:val="16"/>
          <w:szCs w:val="18"/>
        </w:rPr>
        <w:t xml:space="preserve"> 2014;</w:t>
      </w:r>
      <w:r w:rsidRPr="001B36EE">
        <w:rPr>
          <w:rFonts w:ascii="Poppins" w:hAnsi="Poppins" w:cs="Poppins"/>
          <w:b/>
          <w:sz w:val="16"/>
          <w:szCs w:val="18"/>
        </w:rPr>
        <w:t>2</w:t>
      </w:r>
      <w:r w:rsidRPr="001B36EE">
        <w:rPr>
          <w:rFonts w:ascii="Poppins" w:hAnsi="Poppins" w:cs="Poppins"/>
          <w:sz w:val="16"/>
          <w:szCs w:val="18"/>
        </w:rPr>
        <w:t>(2)</w:t>
      </w:r>
    </w:p>
    <w:p w:rsidRPr="001B36EE" w:rsidR="00211CB6" w:rsidP="001B36EE" w:rsidRDefault="00211CB6" w14:paraId="411F33C9" w14:textId="77777777">
      <w:pPr>
        <w:pStyle w:val="EndNoteBibliography"/>
        <w:spacing w:after="0"/>
        <w:rPr>
          <w:rFonts w:ascii="Poppins" w:hAnsi="Poppins" w:cs="Poppins"/>
          <w:sz w:val="16"/>
          <w:szCs w:val="18"/>
        </w:rPr>
      </w:pPr>
      <w:r w:rsidRPr="001B36EE">
        <w:rPr>
          <w:rFonts w:ascii="Poppins" w:hAnsi="Poppins" w:cs="Poppins"/>
          <w:sz w:val="16"/>
          <w:szCs w:val="18"/>
        </w:rPr>
        <w:t>Ashraf MN</w:t>
      </w:r>
      <w:r w:rsidRPr="001B36EE">
        <w:rPr>
          <w:rFonts w:ascii="Poppins" w:hAnsi="Poppins" w:cs="Poppins"/>
          <w:i/>
          <w:sz w:val="16"/>
          <w:szCs w:val="18"/>
        </w:rPr>
        <w:t>, et al.</w:t>
      </w:r>
      <w:r w:rsidRPr="001B36EE">
        <w:rPr>
          <w:rFonts w:ascii="Poppins" w:hAnsi="Poppins" w:cs="Poppins"/>
          <w:sz w:val="16"/>
          <w:szCs w:val="18"/>
        </w:rPr>
        <w:t xml:space="preserve"> Impact of Living with Stigma in Persons with Type 1 Diabetes: A Patient-Physician Perspective. </w:t>
      </w:r>
      <w:r w:rsidRPr="001B36EE">
        <w:rPr>
          <w:rFonts w:ascii="Poppins" w:hAnsi="Poppins" w:cs="Poppins"/>
          <w:i/>
          <w:sz w:val="16"/>
          <w:szCs w:val="18"/>
        </w:rPr>
        <w:t>Diabetes Ther</w:t>
      </w:r>
      <w:r w:rsidRPr="001B36EE">
        <w:rPr>
          <w:rFonts w:ascii="Poppins" w:hAnsi="Poppins" w:cs="Poppins"/>
          <w:sz w:val="16"/>
          <w:szCs w:val="18"/>
        </w:rPr>
        <w:t xml:space="preserve"> 2024;</w:t>
      </w:r>
      <w:r w:rsidRPr="001B36EE">
        <w:rPr>
          <w:rFonts w:ascii="Poppins" w:hAnsi="Poppins" w:cs="Poppins"/>
          <w:b/>
          <w:sz w:val="16"/>
          <w:szCs w:val="18"/>
        </w:rPr>
        <w:t>15</w:t>
      </w:r>
      <w:r w:rsidRPr="001B36EE">
        <w:rPr>
          <w:rFonts w:ascii="Poppins" w:hAnsi="Poppins" w:cs="Poppins"/>
          <w:sz w:val="16"/>
          <w:szCs w:val="18"/>
        </w:rPr>
        <w:t>(2)</w:t>
      </w:r>
      <w:r w:rsidRPr="001B36EE">
        <w:rPr>
          <w:rFonts w:ascii="Poppins" w:hAnsi="Poppins" w:cs="Poppins"/>
          <w:b/>
          <w:sz w:val="16"/>
          <w:szCs w:val="18"/>
        </w:rPr>
        <w:t>:</w:t>
      </w:r>
      <w:r w:rsidRPr="001B36EE">
        <w:rPr>
          <w:rFonts w:ascii="Poppins" w:hAnsi="Poppins" w:cs="Poppins"/>
          <w:sz w:val="16"/>
          <w:szCs w:val="18"/>
        </w:rPr>
        <w:t>311-316</w:t>
      </w:r>
    </w:p>
    <w:p w:rsidRPr="001B36EE" w:rsidR="00211CB6" w:rsidP="001B36EE" w:rsidRDefault="00211CB6" w14:paraId="1191EEAB" w14:textId="77777777">
      <w:pPr>
        <w:pStyle w:val="EndNoteBibliography"/>
        <w:spacing w:after="0"/>
        <w:rPr>
          <w:rFonts w:ascii="Poppins" w:hAnsi="Poppins" w:cs="Poppins"/>
          <w:sz w:val="16"/>
          <w:szCs w:val="18"/>
        </w:rPr>
      </w:pPr>
      <w:r w:rsidRPr="001B36EE">
        <w:rPr>
          <w:rFonts w:ascii="Poppins" w:hAnsi="Poppins" w:cs="Poppins"/>
          <w:sz w:val="16"/>
          <w:szCs w:val="18"/>
        </w:rPr>
        <w:t>Besser REJ</w:t>
      </w:r>
      <w:r w:rsidRPr="001B36EE">
        <w:rPr>
          <w:rFonts w:ascii="Poppins" w:hAnsi="Poppins" w:cs="Poppins"/>
          <w:i/>
          <w:sz w:val="16"/>
          <w:szCs w:val="18"/>
        </w:rPr>
        <w:t>, et al.</w:t>
      </w:r>
      <w:r w:rsidRPr="001B36EE">
        <w:rPr>
          <w:rFonts w:ascii="Poppins" w:hAnsi="Poppins" w:cs="Poppins"/>
          <w:sz w:val="16"/>
          <w:szCs w:val="18"/>
        </w:rPr>
        <w:t xml:space="preserve"> General population screening for childhood type 1 diabetes: is it time for a UK strategy? </w:t>
      </w:r>
      <w:r w:rsidRPr="001B36EE">
        <w:rPr>
          <w:rFonts w:ascii="Poppins" w:hAnsi="Poppins" w:cs="Poppins"/>
          <w:i/>
          <w:sz w:val="16"/>
          <w:szCs w:val="18"/>
        </w:rPr>
        <w:t>Arch Dis Child</w:t>
      </w:r>
      <w:r w:rsidRPr="001B36EE">
        <w:rPr>
          <w:rFonts w:ascii="Poppins" w:hAnsi="Poppins" w:cs="Poppins"/>
          <w:sz w:val="16"/>
          <w:szCs w:val="18"/>
        </w:rPr>
        <w:t xml:space="preserve"> 2022;</w:t>
      </w:r>
      <w:r w:rsidRPr="001B36EE">
        <w:rPr>
          <w:rFonts w:ascii="Poppins" w:hAnsi="Poppins" w:cs="Poppins"/>
          <w:b/>
          <w:sz w:val="16"/>
          <w:szCs w:val="18"/>
        </w:rPr>
        <w:t>107</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790-795</w:t>
      </w:r>
    </w:p>
    <w:p w:rsidRPr="001B36EE" w:rsidR="00211CB6" w:rsidP="001B36EE" w:rsidRDefault="00211CB6" w14:paraId="3552BF67" w14:textId="77777777">
      <w:pPr>
        <w:pStyle w:val="EndNoteBibliography"/>
        <w:spacing w:after="0"/>
        <w:rPr>
          <w:rFonts w:ascii="Poppins" w:hAnsi="Poppins" w:cs="Poppins"/>
          <w:sz w:val="16"/>
          <w:szCs w:val="18"/>
        </w:rPr>
      </w:pPr>
      <w:r w:rsidRPr="001B36EE">
        <w:rPr>
          <w:rFonts w:ascii="Poppins" w:hAnsi="Poppins" w:cs="Poppins"/>
          <w:sz w:val="16"/>
          <w:szCs w:val="18"/>
        </w:rPr>
        <w:t xml:space="preserve">BMC Medicine. Diabetes and climate change: breaking the vicious cycle. </w:t>
      </w:r>
      <w:r w:rsidRPr="001B36EE">
        <w:rPr>
          <w:rFonts w:ascii="Poppins" w:hAnsi="Poppins" w:cs="Poppins"/>
          <w:i/>
          <w:sz w:val="16"/>
          <w:szCs w:val="18"/>
        </w:rPr>
        <w:t>BMC Medicine</w:t>
      </w:r>
      <w:r w:rsidRPr="001B36EE">
        <w:rPr>
          <w:rFonts w:ascii="Poppins" w:hAnsi="Poppins" w:cs="Poppins"/>
          <w:sz w:val="16"/>
          <w:szCs w:val="18"/>
        </w:rPr>
        <w:t xml:space="preserve"> 2023;</w:t>
      </w:r>
      <w:r w:rsidRPr="001B36EE">
        <w:rPr>
          <w:rFonts w:ascii="Poppins" w:hAnsi="Poppins" w:cs="Poppins"/>
          <w:b/>
          <w:sz w:val="16"/>
          <w:szCs w:val="18"/>
        </w:rPr>
        <w:t>21</w:t>
      </w:r>
      <w:r w:rsidRPr="001B36EE">
        <w:rPr>
          <w:rFonts w:ascii="Poppins" w:hAnsi="Poppins" w:cs="Poppins"/>
          <w:sz w:val="16"/>
          <w:szCs w:val="18"/>
        </w:rPr>
        <w:t>(1)</w:t>
      </w:r>
      <w:r w:rsidRPr="001B36EE">
        <w:rPr>
          <w:rFonts w:ascii="Poppins" w:hAnsi="Poppins" w:cs="Poppins"/>
          <w:b/>
          <w:sz w:val="16"/>
          <w:szCs w:val="18"/>
        </w:rPr>
        <w:t>:</w:t>
      </w:r>
      <w:r w:rsidRPr="001B36EE">
        <w:rPr>
          <w:rFonts w:ascii="Poppins" w:hAnsi="Poppins" w:cs="Poppins"/>
          <w:sz w:val="16"/>
          <w:szCs w:val="18"/>
        </w:rPr>
        <w:t>281</w:t>
      </w:r>
    </w:p>
    <w:p w:rsidRPr="001B36EE" w:rsidR="00211CB6" w:rsidP="001B36EE" w:rsidRDefault="00211CB6" w14:paraId="1E844243" w14:textId="77777777">
      <w:pPr>
        <w:pStyle w:val="EndNoteBibliography"/>
        <w:spacing w:after="0"/>
        <w:rPr>
          <w:rFonts w:ascii="Poppins" w:hAnsi="Poppins" w:cs="Poppins"/>
          <w:sz w:val="16"/>
          <w:szCs w:val="18"/>
        </w:rPr>
      </w:pPr>
      <w:r w:rsidRPr="001B36EE">
        <w:rPr>
          <w:rFonts w:ascii="Poppins" w:hAnsi="Poppins" w:cs="Poppins"/>
          <w:sz w:val="16"/>
          <w:szCs w:val="18"/>
        </w:rPr>
        <w:t>Dhatariya KK</w:t>
      </w:r>
      <w:r w:rsidRPr="001B36EE">
        <w:rPr>
          <w:rFonts w:ascii="Poppins" w:hAnsi="Poppins" w:cs="Poppins"/>
          <w:i/>
          <w:sz w:val="16"/>
          <w:szCs w:val="18"/>
        </w:rPr>
        <w:t>, et al.</w:t>
      </w:r>
      <w:r w:rsidRPr="001B36EE">
        <w:rPr>
          <w:rFonts w:ascii="Poppins" w:hAnsi="Poppins" w:cs="Poppins"/>
          <w:sz w:val="16"/>
          <w:szCs w:val="18"/>
        </w:rPr>
        <w:t xml:space="preserve"> Diabetic ketoacidosis. </w:t>
      </w:r>
      <w:r w:rsidRPr="001B36EE">
        <w:rPr>
          <w:rFonts w:ascii="Poppins" w:hAnsi="Poppins" w:cs="Poppins"/>
          <w:i/>
          <w:sz w:val="16"/>
          <w:szCs w:val="18"/>
        </w:rPr>
        <w:t>Nat Rev Dis Primers</w:t>
      </w:r>
      <w:r w:rsidRPr="001B36EE">
        <w:rPr>
          <w:rFonts w:ascii="Poppins" w:hAnsi="Poppins" w:cs="Poppins"/>
          <w:sz w:val="16"/>
          <w:szCs w:val="18"/>
        </w:rPr>
        <w:t xml:space="preserve"> 2020;</w:t>
      </w:r>
      <w:r w:rsidRPr="001B36EE">
        <w:rPr>
          <w:rFonts w:ascii="Poppins" w:hAnsi="Poppins" w:cs="Poppins"/>
          <w:b/>
          <w:sz w:val="16"/>
          <w:szCs w:val="18"/>
        </w:rPr>
        <w:t>6</w:t>
      </w:r>
      <w:r w:rsidRPr="001B36EE">
        <w:rPr>
          <w:rFonts w:ascii="Poppins" w:hAnsi="Poppins" w:cs="Poppins"/>
          <w:sz w:val="16"/>
          <w:szCs w:val="18"/>
        </w:rPr>
        <w:t>(1)</w:t>
      </w:r>
      <w:r w:rsidRPr="001B36EE">
        <w:rPr>
          <w:rFonts w:ascii="Poppins" w:hAnsi="Poppins" w:cs="Poppins"/>
          <w:b/>
          <w:sz w:val="16"/>
          <w:szCs w:val="18"/>
        </w:rPr>
        <w:t>:</w:t>
      </w:r>
      <w:r w:rsidRPr="001B36EE">
        <w:rPr>
          <w:rFonts w:ascii="Poppins" w:hAnsi="Poppins" w:cs="Poppins"/>
          <w:sz w:val="16"/>
          <w:szCs w:val="18"/>
        </w:rPr>
        <w:t>40</w:t>
      </w:r>
    </w:p>
    <w:p w:rsidRPr="001B36EE" w:rsidR="00211CB6" w:rsidP="001B36EE" w:rsidRDefault="00211CB6" w14:paraId="2C3C7105" w14:textId="645262B6">
      <w:pPr>
        <w:pStyle w:val="EndNoteBibliography"/>
        <w:spacing w:after="0"/>
        <w:rPr>
          <w:rFonts w:ascii="Poppins" w:hAnsi="Poppins" w:cs="Poppins"/>
          <w:sz w:val="16"/>
          <w:szCs w:val="18"/>
        </w:rPr>
      </w:pPr>
      <w:r w:rsidRPr="001B36EE">
        <w:rPr>
          <w:rFonts w:ascii="Poppins" w:hAnsi="Poppins" w:cs="Poppins"/>
          <w:sz w:val="16"/>
          <w:szCs w:val="18"/>
        </w:rPr>
        <w:t xml:space="preserve">Diabetes UK. Diabetes and your emotions. 2025a. Available from: </w:t>
      </w:r>
      <w:hyperlink w:history="1" r:id="rId23">
        <w:r w:rsidRPr="001B36EE">
          <w:rPr>
            <w:rStyle w:val="Hyperlink"/>
            <w:rFonts w:ascii="Poppins" w:hAnsi="Poppins" w:cs="Poppins"/>
            <w:sz w:val="16"/>
            <w:szCs w:val="18"/>
          </w:rPr>
          <w:t>https://www.diabetes.org.uk/living-with-diabetes/emotional-wellbeing</w:t>
        </w:r>
      </w:hyperlink>
      <w:r w:rsidRPr="001B36EE">
        <w:rPr>
          <w:rFonts w:ascii="Poppins" w:hAnsi="Poppins" w:cs="Poppins"/>
          <w:sz w:val="16"/>
          <w:szCs w:val="18"/>
        </w:rPr>
        <w:t>. [Accessed</w:t>
      </w:r>
      <w:r w:rsidRPr="001B36EE" w:rsidR="00650ECF">
        <w:rPr>
          <w:rFonts w:ascii="Poppins" w:hAnsi="Poppins" w:cs="Poppins"/>
          <w:sz w:val="16"/>
          <w:szCs w:val="18"/>
        </w:rPr>
        <w:t xml:space="preserve"> </w:t>
      </w:r>
      <w:r w:rsidRPr="001B36EE">
        <w:rPr>
          <w:rFonts w:ascii="Poppins" w:hAnsi="Poppins" w:cs="Poppins"/>
          <w:sz w:val="16"/>
          <w:szCs w:val="18"/>
        </w:rPr>
        <w:t xml:space="preserve">May 2026] </w:t>
      </w:r>
    </w:p>
    <w:p w:rsidRPr="001B36EE" w:rsidR="00211CB6" w:rsidP="001B36EE" w:rsidRDefault="00211CB6" w14:paraId="26590EAC" w14:textId="7ADB8B8C">
      <w:pPr>
        <w:pStyle w:val="EndNoteBibliography"/>
        <w:spacing w:after="0"/>
        <w:rPr>
          <w:rFonts w:ascii="Poppins" w:hAnsi="Poppins" w:cs="Poppins"/>
          <w:sz w:val="16"/>
          <w:szCs w:val="18"/>
        </w:rPr>
      </w:pPr>
      <w:r w:rsidRPr="001B36EE">
        <w:rPr>
          <w:rFonts w:ascii="Poppins" w:hAnsi="Poppins" w:cs="Poppins"/>
          <w:sz w:val="16"/>
          <w:szCs w:val="18"/>
        </w:rPr>
        <w:t xml:space="preserve">Diabetes UK. New blood sugar data reveals worsening inequalities in type 1 diabetes outcomes. 2025b. Available from: </w:t>
      </w:r>
      <w:hyperlink w:history="1" r:id="rId24">
        <w:r w:rsidRPr="001B36EE">
          <w:rPr>
            <w:rStyle w:val="Hyperlink"/>
            <w:rFonts w:ascii="Poppins" w:hAnsi="Poppins" w:cs="Poppins"/>
            <w:sz w:val="16"/>
            <w:szCs w:val="18"/>
          </w:rPr>
          <w:t>https://www.diabetes.org.uk/about-us/news-and-views/new-blood-sugar-data-reveals-worsening-inequalities-type-1-diabetes</w:t>
        </w:r>
      </w:hyperlink>
      <w:r w:rsidRPr="001B36EE">
        <w:rPr>
          <w:rFonts w:ascii="Poppins" w:hAnsi="Poppins" w:cs="Poppins"/>
          <w:sz w:val="16"/>
          <w:szCs w:val="18"/>
        </w:rPr>
        <w:t>. [Accessed May 2026]</w:t>
      </w:r>
    </w:p>
    <w:p w:rsidRPr="001B36EE" w:rsidR="00211CB6" w:rsidP="001B36EE" w:rsidRDefault="00211CB6" w14:paraId="7D2CAD79" w14:textId="7BCFFB3C">
      <w:pPr>
        <w:pStyle w:val="EndNoteBibliography"/>
        <w:spacing w:after="0"/>
        <w:rPr>
          <w:rFonts w:ascii="Poppins" w:hAnsi="Poppins" w:cs="Poppins"/>
          <w:sz w:val="16"/>
          <w:szCs w:val="18"/>
        </w:rPr>
      </w:pPr>
      <w:r w:rsidRPr="001B36EE">
        <w:rPr>
          <w:rFonts w:ascii="Poppins" w:hAnsi="Poppins" w:cs="Poppins"/>
          <w:sz w:val="16"/>
          <w:szCs w:val="18"/>
        </w:rPr>
        <w:t xml:space="preserve">Diabetes.co.uk. Cost of diabetes. 2023. Available from: </w:t>
      </w:r>
      <w:hyperlink w:history="1" r:id="rId25">
        <w:r w:rsidRPr="001B36EE">
          <w:rPr>
            <w:rStyle w:val="Hyperlink"/>
            <w:rFonts w:ascii="Poppins" w:hAnsi="Poppins" w:cs="Poppins"/>
            <w:sz w:val="16"/>
            <w:szCs w:val="18"/>
          </w:rPr>
          <w:t>https://www.diabetes.co.uk/cost-of-diabetes.html</w:t>
        </w:r>
      </w:hyperlink>
      <w:r w:rsidRPr="001B36EE">
        <w:rPr>
          <w:rFonts w:ascii="Poppins" w:hAnsi="Poppins" w:cs="Poppins"/>
          <w:sz w:val="16"/>
          <w:szCs w:val="18"/>
        </w:rPr>
        <w:t xml:space="preserve">. [Accessed </w:t>
      </w:r>
      <w:r w:rsidRPr="001B36EE" w:rsidR="00686BBD">
        <w:rPr>
          <w:rFonts w:ascii="Poppins" w:hAnsi="Poppins" w:cs="Poppins"/>
          <w:sz w:val="16"/>
          <w:szCs w:val="18"/>
        </w:rPr>
        <w:t>May</w:t>
      </w:r>
      <w:r w:rsidRPr="001B36EE">
        <w:rPr>
          <w:rFonts w:ascii="Poppins" w:hAnsi="Poppins" w:cs="Poppins"/>
          <w:sz w:val="16"/>
          <w:szCs w:val="18"/>
        </w:rPr>
        <w:t xml:space="preserve"> 202</w:t>
      </w:r>
      <w:r w:rsidRPr="001B36EE" w:rsidR="00686BBD">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182F9435" w14:textId="43636114">
      <w:pPr>
        <w:pStyle w:val="EndNoteBibliography"/>
        <w:spacing w:after="0"/>
        <w:rPr>
          <w:rFonts w:ascii="Poppins" w:hAnsi="Poppins" w:cs="Poppins"/>
          <w:sz w:val="16"/>
          <w:szCs w:val="18"/>
          <w:lang w:val="fr-FR"/>
        </w:rPr>
      </w:pPr>
      <w:r w:rsidRPr="001B36EE">
        <w:rPr>
          <w:rFonts w:ascii="Poppins" w:hAnsi="Poppins" w:cs="Poppins"/>
          <w:sz w:val="16"/>
          <w:szCs w:val="18"/>
        </w:rPr>
        <w:t xml:space="preserve">diaTriab Learn. FDA Approves Tzield (Teplizumab) to delay Type 1 Diabetes. </w:t>
      </w:r>
      <w:r w:rsidRPr="001B36EE">
        <w:rPr>
          <w:rFonts w:ascii="Poppins" w:hAnsi="Poppins" w:cs="Poppins"/>
          <w:sz w:val="16"/>
          <w:szCs w:val="18"/>
          <w:lang w:val="fr-FR"/>
        </w:rPr>
        <w:t xml:space="preserve">2025. Available from: </w:t>
      </w:r>
      <w:hyperlink w:history="1" r:id="rId26">
        <w:r w:rsidRPr="001B36EE">
          <w:rPr>
            <w:rStyle w:val="Hyperlink"/>
            <w:rFonts w:ascii="Poppins" w:hAnsi="Poppins" w:cs="Poppins"/>
            <w:sz w:val="16"/>
            <w:szCs w:val="18"/>
            <w:lang w:val="fr-FR"/>
          </w:rPr>
          <w:t>https://diatribe.org/diabetes-medications/fda-approves-tzield-teplizumab-delay-type-1-diabetes</w:t>
        </w:r>
      </w:hyperlink>
      <w:r w:rsidRPr="001B36EE">
        <w:rPr>
          <w:rFonts w:ascii="Poppins" w:hAnsi="Poppins" w:cs="Poppins"/>
          <w:sz w:val="16"/>
          <w:szCs w:val="18"/>
          <w:lang w:val="fr-FR"/>
        </w:rPr>
        <w:t>. [Accessed May 2026]</w:t>
      </w:r>
    </w:p>
    <w:p w:rsidRPr="001B36EE" w:rsidR="00211CB6" w:rsidP="001B36EE" w:rsidRDefault="00211CB6" w14:paraId="0CFE4FD5" w14:textId="77777777">
      <w:pPr>
        <w:pStyle w:val="EndNoteBibliography"/>
        <w:spacing w:after="0"/>
        <w:rPr>
          <w:rFonts w:ascii="Poppins" w:hAnsi="Poppins" w:cs="Poppins"/>
          <w:sz w:val="16"/>
          <w:szCs w:val="18"/>
          <w:lang w:val="fr-FR"/>
        </w:rPr>
      </w:pPr>
      <w:r w:rsidRPr="001B36EE">
        <w:rPr>
          <w:rFonts w:ascii="Poppins" w:hAnsi="Poppins" w:cs="Poppins"/>
          <w:sz w:val="16"/>
          <w:szCs w:val="18"/>
          <w:lang w:val="fr-FR"/>
        </w:rPr>
        <w:t>DiMeglio LA</w:t>
      </w:r>
      <w:r w:rsidRPr="001B36EE">
        <w:rPr>
          <w:rFonts w:ascii="Poppins" w:hAnsi="Poppins" w:cs="Poppins"/>
          <w:i/>
          <w:sz w:val="16"/>
          <w:szCs w:val="18"/>
          <w:lang w:val="fr-FR"/>
        </w:rPr>
        <w:t>, et al.</w:t>
      </w:r>
      <w:r w:rsidRPr="001B36EE">
        <w:rPr>
          <w:rFonts w:ascii="Poppins" w:hAnsi="Poppins" w:cs="Poppins"/>
          <w:sz w:val="16"/>
          <w:szCs w:val="18"/>
          <w:lang w:val="fr-FR"/>
        </w:rPr>
        <w:t xml:space="preserve"> Type 1 diabetes. </w:t>
      </w:r>
      <w:r w:rsidRPr="001B36EE">
        <w:rPr>
          <w:rFonts w:ascii="Poppins" w:hAnsi="Poppins" w:cs="Poppins"/>
          <w:i/>
          <w:sz w:val="16"/>
          <w:szCs w:val="18"/>
          <w:lang w:val="fr-FR"/>
        </w:rPr>
        <w:t>Lancet</w:t>
      </w:r>
      <w:r w:rsidRPr="001B36EE">
        <w:rPr>
          <w:rFonts w:ascii="Poppins" w:hAnsi="Poppins" w:cs="Poppins"/>
          <w:sz w:val="16"/>
          <w:szCs w:val="18"/>
          <w:lang w:val="fr-FR"/>
        </w:rPr>
        <w:t xml:space="preserve"> 2018;</w:t>
      </w:r>
      <w:r w:rsidRPr="001B36EE">
        <w:rPr>
          <w:rFonts w:ascii="Poppins" w:hAnsi="Poppins" w:cs="Poppins"/>
          <w:b/>
          <w:sz w:val="16"/>
          <w:szCs w:val="18"/>
          <w:lang w:val="fr-FR"/>
        </w:rPr>
        <w:t>391</w:t>
      </w:r>
      <w:r w:rsidRPr="001B36EE">
        <w:rPr>
          <w:rFonts w:ascii="Poppins" w:hAnsi="Poppins" w:cs="Poppins"/>
          <w:sz w:val="16"/>
          <w:szCs w:val="18"/>
          <w:lang w:val="fr-FR"/>
        </w:rPr>
        <w:t>(10138)</w:t>
      </w:r>
      <w:r w:rsidRPr="001B36EE">
        <w:rPr>
          <w:rFonts w:ascii="Poppins" w:hAnsi="Poppins" w:cs="Poppins"/>
          <w:b/>
          <w:sz w:val="16"/>
          <w:szCs w:val="18"/>
          <w:lang w:val="fr-FR"/>
        </w:rPr>
        <w:t>:</w:t>
      </w:r>
      <w:r w:rsidRPr="001B36EE">
        <w:rPr>
          <w:rFonts w:ascii="Poppins" w:hAnsi="Poppins" w:cs="Poppins"/>
          <w:sz w:val="16"/>
          <w:szCs w:val="18"/>
          <w:lang w:val="fr-FR"/>
        </w:rPr>
        <w:t>2449-2462</w:t>
      </w:r>
    </w:p>
    <w:p w:rsidRPr="001B36EE" w:rsidR="00211CB6" w:rsidP="001B36EE" w:rsidRDefault="00211CB6" w14:paraId="1CB8AF63" w14:textId="77777777">
      <w:pPr>
        <w:pStyle w:val="EndNoteBibliography"/>
        <w:spacing w:after="0"/>
        <w:rPr>
          <w:rFonts w:ascii="Poppins" w:hAnsi="Poppins" w:cs="Poppins"/>
          <w:sz w:val="16"/>
          <w:szCs w:val="18"/>
        </w:rPr>
      </w:pPr>
      <w:r w:rsidRPr="001B36EE">
        <w:rPr>
          <w:rFonts w:ascii="Poppins" w:hAnsi="Poppins" w:cs="Poppins"/>
          <w:sz w:val="16"/>
          <w:szCs w:val="18"/>
        </w:rPr>
        <w:t>Dybdal D</w:t>
      </w:r>
      <w:r w:rsidRPr="001B36EE">
        <w:rPr>
          <w:rFonts w:ascii="Poppins" w:hAnsi="Poppins" w:cs="Poppins"/>
          <w:i/>
          <w:sz w:val="16"/>
          <w:szCs w:val="18"/>
        </w:rPr>
        <w:t>, et al.</w:t>
      </w:r>
      <w:r w:rsidRPr="001B36EE">
        <w:rPr>
          <w:rFonts w:ascii="Poppins" w:hAnsi="Poppins" w:cs="Poppins"/>
          <w:sz w:val="16"/>
          <w:szCs w:val="18"/>
        </w:rPr>
        <w:t xml:space="preserve"> Increasing risk of psychiatric morbidity after childhood onset type 1 diabetes: a population-based cohort study. </w:t>
      </w:r>
      <w:r w:rsidRPr="001B36EE">
        <w:rPr>
          <w:rFonts w:ascii="Poppins" w:hAnsi="Poppins" w:cs="Poppins"/>
          <w:i/>
          <w:sz w:val="16"/>
          <w:szCs w:val="18"/>
        </w:rPr>
        <w:t>Diabetologia</w:t>
      </w:r>
      <w:r w:rsidRPr="001B36EE">
        <w:rPr>
          <w:rFonts w:ascii="Poppins" w:hAnsi="Poppins" w:cs="Poppins"/>
          <w:sz w:val="16"/>
          <w:szCs w:val="18"/>
        </w:rPr>
        <w:t xml:space="preserve"> 2018;</w:t>
      </w:r>
      <w:r w:rsidRPr="001B36EE">
        <w:rPr>
          <w:rFonts w:ascii="Poppins" w:hAnsi="Poppins" w:cs="Poppins"/>
          <w:b/>
          <w:sz w:val="16"/>
          <w:szCs w:val="18"/>
        </w:rPr>
        <w:t>61</w:t>
      </w:r>
      <w:r w:rsidRPr="001B36EE">
        <w:rPr>
          <w:rFonts w:ascii="Poppins" w:hAnsi="Poppins" w:cs="Poppins"/>
          <w:sz w:val="16"/>
          <w:szCs w:val="18"/>
        </w:rPr>
        <w:t>(4)</w:t>
      </w:r>
      <w:r w:rsidRPr="001B36EE">
        <w:rPr>
          <w:rFonts w:ascii="Poppins" w:hAnsi="Poppins" w:cs="Poppins"/>
          <w:b/>
          <w:sz w:val="16"/>
          <w:szCs w:val="18"/>
        </w:rPr>
        <w:t>:</w:t>
      </w:r>
      <w:r w:rsidRPr="001B36EE">
        <w:rPr>
          <w:rFonts w:ascii="Poppins" w:hAnsi="Poppins" w:cs="Poppins"/>
          <w:sz w:val="16"/>
          <w:szCs w:val="18"/>
        </w:rPr>
        <w:t>831-838</w:t>
      </w:r>
    </w:p>
    <w:p w:rsidRPr="001B36EE" w:rsidR="00211CB6" w:rsidP="001B36EE" w:rsidRDefault="00211CB6" w14:paraId="024FA53A" w14:textId="77777777">
      <w:pPr>
        <w:pStyle w:val="EndNoteBibliography"/>
        <w:spacing w:after="0"/>
        <w:rPr>
          <w:rFonts w:ascii="Poppins" w:hAnsi="Poppins" w:cs="Poppins"/>
          <w:sz w:val="16"/>
          <w:szCs w:val="18"/>
        </w:rPr>
      </w:pPr>
      <w:r w:rsidRPr="001B36EE">
        <w:rPr>
          <w:rFonts w:ascii="Poppins" w:hAnsi="Poppins" w:cs="Poppins"/>
          <w:sz w:val="16"/>
          <w:szCs w:val="18"/>
        </w:rPr>
        <w:t xml:space="preserve">Edelman S. Early Intervention by Family Physicians to Delay Type 1 Diabetes. </w:t>
      </w:r>
      <w:r w:rsidRPr="001B36EE">
        <w:rPr>
          <w:rFonts w:ascii="Poppins" w:hAnsi="Poppins" w:cs="Poppins"/>
          <w:i/>
          <w:sz w:val="16"/>
          <w:szCs w:val="18"/>
        </w:rPr>
        <w:t>J Fam Pract</w:t>
      </w:r>
      <w:r w:rsidRPr="001B36EE">
        <w:rPr>
          <w:rFonts w:ascii="Poppins" w:hAnsi="Poppins" w:cs="Poppins"/>
          <w:sz w:val="16"/>
          <w:szCs w:val="18"/>
        </w:rPr>
        <w:t xml:space="preserve"> 2023;</w:t>
      </w:r>
      <w:r w:rsidRPr="001B36EE">
        <w:rPr>
          <w:rFonts w:ascii="Poppins" w:hAnsi="Poppins" w:cs="Poppins"/>
          <w:b/>
          <w:sz w:val="16"/>
          <w:szCs w:val="18"/>
        </w:rPr>
        <w:t>72</w:t>
      </w:r>
      <w:r w:rsidRPr="001B36EE">
        <w:rPr>
          <w:rFonts w:ascii="Poppins" w:hAnsi="Poppins" w:cs="Poppins"/>
          <w:sz w:val="16"/>
          <w:szCs w:val="18"/>
        </w:rPr>
        <w:t>(6 Suppl)</w:t>
      </w:r>
      <w:r w:rsidRPr="001B36EE">
        <w:rPr>
          <w:rFonts w:ascii="Poppins" w:hAnsi="Poppins" w:cs="Poppins"/>
          <w:b/>
          <w:sz w:val="16"/>
          <w:szCs w:val="18"/>
        </w:rPr>
        <w:t>:</w:t>
      </w:r>
      <w:r w:rsidRPr="001B36EE">
        <w:rPr>
          <w:rFonts w:ascii="Poppins" w:hAnsi="Poppins" w:cs="Poppins"/>
          <w:sz w:val="16"/>
          <w:szCs w:val="18"/>
        </w:rPr>
        <w:t>S19-s24</w:t>
      </w:r>
    </w:p>
    <w:p w:rsidRPr="001B36EE" w:rsidR="00211CB6" w:rsidP="001B36EE" w:rsidRDefault="00211CB6" w14:paraId="7EAAE05A" w14:textId="6B1B2764">
      <w:pPr>
        <w:pStyle w:val="EndNoteBibliography"/>
        <w:spacing w:after="0"/>
        <w:rPr>
          <w:rFonts w:ascii="Poppins" w:hAnsi="Poppins" w:cs="Poppins"/>
          <w:sz w:val="16"/>
          <w:szCs w:val="18"/>
        </w:rPr>
      </w:pPr>
      <w:r w:rsidRPr="001B36EE">
        <w:rPr>
          <w:rFonts w:ascii="Poppins" w:hAnsi="Poppins" w:cs="Poppins"/>
          <w:sz w:val="16"/>
          <w:szCs w:val="18"/>
        </w:rPr>
        <w:t xml:space="preserve">Exeter Clinical Laboratory International. Glutamic Acid Decarboxylase (GAD) antibodies. 2026. Available from: </w:t>
      </w:r>
      <w:hyperlink w:history="1" r:id="rId27">
        <w:r w:rsidRPr="001B36EE">
          <w:rPr>
            <w:rStyle w:val="Hyperlink"/>
            <w:rFonts w:ascii="Poppins" w:hAnsi="Poppins" w:cs="Poppins"/>
            <w:sz w:val="16"/>
            <w:szCs w:val="18"/>
          </w:rPr>
          <w:t>https://www.exeterlaboratory.com/test/gad%20antibodies/</w:t>
        </w:r>
      </w:hyperlink>
      <w:r w:rsidRPr="001B36EE">
        <w:rPr>
          <w:rFonts w:ascii="Poppins" w:hAnsi="Poppins" w:cs="Poppins"/>
          <w:sz w:val="16"/>
          <w:szCs w:val="18"/>
        </w:rPr>
        <w:t>. [Accessed May 2026]</w:t>
      </w:r>
    </w:p>
    <w:p w:rsidRPr="001B36EE" w:rsidR="00211CB6" w:rsidP="001B36EE" w:rsidRDefault="00211CB6" w14:paraId="14FE9D6A" w14:textId="70B57B17">
      <w:pPr>
        <w:pStyle w:val="EndNoteBibliography"/>
        <w:spacing w:after="0"/>
        <w:rPr>
          <w:rFonts w:ascii="Poppins" w:hAnsi="Poppins" w:cs="Poppins"/>
          <w:sz w:val="16"/>
          <w:szCs w:val="18"/>
        </w:rPr>
      </w:pPr>
      <w:r w:rsidRPr="001B36EE">
        <w:rPr>
          <w:rFonts w:ascii="Poppins" w:hAnsi="Poppins" w:cs="Poppins"/>
          <w:sz w:val="16"/>
          <w:szCs w:val="18"/>
        </w:rPr>
        <w:t xml:space="preserve">Faculty of Public Health. The role of the NHS in prevention. 2024. Available from: </w:t>
      </w:r>
      <w:hyperlink w:history="1" r:id="rId28">
        <w:r w:rsidRPr="001B36EE">
          <w:rPr>
            <w:rStyle w:val="Hyperlink"/>
            <w:rFonts w:ascii="Poppins" w:hAnsi="Poppins" w:cs="Poppins"/>
            <w:sz w:val="16"/>
            <w:szCs w:val="18"/>
          </w:rPr>
          <w:t>https://www.fph.org.uk/media/u1ofhkao/fph-the-role-of-the-nhs-in-prevention.pdf</w:t>
        </w:r>
      </w:hyperlink>
      <w:r w:rsidRPr="001B36EE">
        <w:rPr>
          <w:rFonts w:ascii="Poppins" w:hAnsi="Poppins" w:cs="Poppins"/>
          <w:sz w:val="16"/>
          <w:szCs w:val="18"/>
        </w:rPr>
        <w:t>. [Accessed May 2026]</w:t>
      </w:r>
    </w:p>
    <w:p w:rsidRPr="001B36EE" w:rsidR="00211CB6" w:rsidP="001B36EE" w:rsidRDefault="00211CB6" w14:paraId="4BA499CC" w14:textId="77777777">
      <w:pPr>
        <w:pStyle w:val="EndNoteBibliography"/>
        <w:spacing w:after="0"/>
        <w:rPr>
          <w:rFonts w:ascii="Poppins" w:hAnsi="Poppins" w:cs="Poppins"/>
          <w:sz w:val="16"/>
          <w:szCs w:val="18"/>
        </w:rPr>
      </w:pPr>
      <w:r w:rsidRPr="001B36EE">
        <w:rPr>
          <w:rFonts w:ascii="Poppins" w:hAnsi="Poppins" w:cs="Poppins"/>
          <w:sz w:val="16"/>
          <w:szCs w:val="18"/>
        </w:rPr>
        <w:t>Herold KC</w:t>
      </w:r>
      <w:r w:rsidRPr="001B36EE">
        <w:rPr>
          <w:rFonts w:ascii="Poppins" w:hAnsi="Poppins" w:cs="Poppins"/>
          <w:i/>
          <w:sz w:val="16"/>
          <w:szCs w:val="18"/>
        </w:rPr>
        <w:t>, et al.</w:t>
      </w:r>
      <w:r w:rsidRPr="001B36EE">
        <w:rPr>
          <w:rFonts w:ascii="Poppins" w:hAnsi="Poppins" w:cs="Poppins"/>
          <w:sz w:val="16"/>
          <w:szCs w:val="18"/>
        </w:rPr>
        <w:t xml:space="preserve"> An anti-CD3 antibody, teplizumab, in relatives at risk for type 1 diabetes. </w:t>
      </w:r>
      <w:r w:rsidRPr="001B36EE">
        <w:rPr>
          <w:rFonts w:ascii="Poppins" w:hAnsi="Poppins" w:cs="Poppins"/>
          <w:i/>
          <w:sz w:val="16"/>
          <w:szCs w:val="18"/>
        </w:rPr>
        <w:t>N Engl J Med</w:t>
      </w:r>
      <w:r w:rsidRPr="001B36EE">
        <w:rPr>
          <w:rFonts w:ascii="Poppins" w:hAnsi="Poppins" w:cs="Poppins"/>
          <w:sz w:val="16"/>
          <w:szCs w:val="18"/>
        </w:rPr>
        <w:t xml:space="preserve"> 2019;</w:t>
      </w:r>
      <w:r w:rsidRPr="001B36EE">
        <w:rPr>
          <w:rFonts w:ascii="Poppins" w:hAnsi="Poppins" w:cs="Poppins"/>
          <w:b/>
          <w:sz w:val="16"/>
          <w:szCs w:val="18"/>
        </w:rPr>
        <w:t>381</w:t>
      </w:r>
      <w:r w:rsidRPr="001B36EE">
        <w:rPr>
          <w:rFonts w:ascii="Poppins" w:hAnsi="Poppins" w:cs="Poppins"/>
          <w:sz w:val="16"/>
          <w:szCs w:val="18"/>
        </w:rPr>
        <w:t>(7)</w:t>
      </w:r>
      <w:r w:rsidRPr="001B36EE">
        <w:rPr>
          <w:rFonts w:ascii="Poppins" w:hAnsi="Poppins" w:cs="Poppins"/>
          <w:b/>
          <w:sz w:val="16"/>
          <w:szCs w:val="18"/>
        </w:rPr>
        <w:t>:</w:t>
      </w:r>
      <w:r w:rsidRPr="001B36EE">
        <w:rPr>
          <w:rFonts w:ascii="Poppins" w:hAnsi="Poppins" w:cs="Poppins"/>
          <w:sz w:val="16"/>
          <w:szCs w:val="18"/>
        </w:rPr>
        <w:t>603-613</w:t>
      </w:r>
    </w:p>
    <w:p w:rsidRPr="001B36EE" w:rsidR="00211CB6" w:rsidP="001B36EE" w:rsidRDefault="00211CB6" w14:paraId="0A6FBF7F" w14:textId="77777777">
      <w:pPr>
        <w:pStyle w:val="EndNoteBibliography"/>
        <w:spacing w:after="0"/>
        <w:rPr>
          <w:rFonts w:ascii="Poppins" w:hAnsi="Poppins" w:cs="Poppins"/>
          <w:sz w:val="16"/>
          <w:szCs w:val="18"/>
        </w:rPr>
      </w:pPr>
      <w:r w:rsidRPr="001B36EE">
        <w:rPr>
          <w:rFonts w:ascii="Poppins" w:hAnsi="Poppins" w:cs="Poppins"/>
          <w:sz w:val="16"/>
          <w:szCs w:val="18"/>
        </w:rPr>
        <w:t>Hex N</w:t>
      </w:r>
      <w:r w:rsidRPr="001B36EE">
        <w:rPr>
          <w:rFonts w:ascii="Poppins" w:hAnsi="Poppins" w:cs="Poppins"/>
          <w:i/>
          <w:sz w:val="16"/>
          <w:szCs w:val="18"/>
        </w:rPr>
        <w:t>, et al.</w:t>
      </w:r>
      <w:r w:rsidRPr="001B36EE">
        <w:rPr>
          <w:rFonts w:ascii="Poppins" w:hAnsi="Poppins" w:cs="Poppins"/>
          <w:sz w:val="16"/>
          <w:szCs w:val="18"/>
        </w:rPr>
        <w:t xml:space="preserve"> Estimation of the direct health and indirect societal costs of diabetes in the UK using a cost of illness model. </w:t>
      </w:r>
      <w:r w:rsidRPr="001B36EE">
        <w:rPr>
          <w:rFonts w:ascii="Poppins" w:hAnsi="Poppins" w:cs="Poppins"/>
          <w:i/>
          <w:sz w:val="16"/>
          <w:szCs w:val="18"/>
        </w:rPr>
        <w:t>Diabetic Medicine</w:t>
      </w:r>
      <w:r w:rsidRPr="001B36EE">
        <w:rPr>
          <w:rFonts w:ascii="Poppins" w:hAnsi="Poppins" w:cs="Poppins"/>
          <w:sz w:val="16"/>
          <w:szCs w:val="18"/>
        </w:rPr>
        <w:t xml:space="preserve"> 2024;</w:t>
      </w:r>
      <w:r w:rsidRPr="001B36EE">
        <w:rPr>
          <w:rFonts w:ascii="Poppins" w:hAnsi="Poppins" w:cs="Poppins"/>
          <w:b/>
          <w:sz w:val="16"/>
          <w:szCs w:val="18"/>
        </w:rPr>
        <w:t>41</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e15326</w:t>
      </w:r>
    </w:p>
    <w:p w:rsidRPr="001B36EE" w:rsidR="00211CB6" w:rsidP="001B36EE" w:rsidRDefault="00211CB6" w14:paraId="73633E29" w14:textId="77777777">
      <w:pPr>
        <w:pStyle w:val="EndNoteBibliography"/>
        <w:spacing w:after="0"/>
        <w:rPr>
          <w:rFonts w:ascii="Poppins" w:hAnsi="Poppins" w:cs="Poppins"/>
          <w:sz w:val="16"/>
          <w:szCs w:val="18"/>
        </w:rPr>
      </w:pPr>
      <w:r w:rsidRPr="001B36EE">
        <w:rPr>
          <w:rFonts w:ascii="Poppins" w:hAnsi="Poppins" w:cs="Poppins"/>
          <w:sz w:val="16"/>
          <w:szCs w:val="18"/>
        </w:rPr>
        <w:t>Hormazábal-Aguayo I</w:t>
      </w:r>
      <w:r w:rsidRPr="001B36EE">
        <w:rPr>
          <w:rFonts w:ascii="Poppins" w:hAnsi="Poppins" w:cs="Poppins"/>
          <w:i/>
          <w:sz w:val="16"/>
          <w:szCs w:val="18"/>
        </w:rPr>
        <w:t>, et al.</w:t>
      </w:r>
      <w:r w:rsidRPr="001B36EE">
        <w:rPr>
          <w:rFonts w:ascii="Poppins" w:hAnsi="Poppins" w:cs="Poppins"/>
          <w:sz w:val="16"/>
          <w:szCs w:val="18"/>
        </w:rPr>
        <w:t xml:space="preserve"> Incidence of type 1 diabetes mellitus in children and adolescents under 20 years of age across 55 countries from 2000 to 2022: A systematic review with meta-analysis. </w:t>
      </w:r>
      <w:r w:rsidRPr="001B36EE">
        <w:rPr>
          <w:rFonts w:ascii="Poppins" w:hAnsi="Poppins" w:cs="Poppins"/>
          <w:i/>
          <w:sz w:val="16"/>
          <w:szCs w:val="18"/>
        </w:rPr>
        <w:t>Diabetes Metab Res Rev</w:t>
      </w:r>
      <w:r w:rsidRPr="001B36EE">
        <w:rPr>
          <w:rFonts w:ascii="Poppins" w:hAnsi="Poppins" w:cs="Poppins"/>
          <w:sz w:val="16"/>
          <w:szCs w:val="18"/>
        </w:rPr>
        <w:t xml:space="preserve"> 2024;</w:t>
      </w:r>
      <w:r w:rsidRPr="001B36EE">
        <w:rPr>
          <w:rFonts w:ascii="Poppins" w:hAnsi="Poppins" w:cs="Poppins"/>
          <w:b/>
          <w:sz w:val="16"/>
          <w:szCs w:val="18"/>
        </w:rPr>
        <w:t>40</w:t>
      </w:r>
      <w:r w:rsidRPr="001B36EE">
        <w:rPr>
          <w:rFonts w:ascii="Poppins" w:hAnsi="Poppins" w:cs="Poppins"/>
          <w:sz w:val="16"/>
          <w:szCs w:val="18"/>
        </w:rPr>
        <w:t>(3)</w:t>
      </w:r>
      <w:r w:rsidRPr="001B36EE">
        <w:rPr>
          <w:rFonts w:ascii="Poppins" w:hAnsi="Poppins" w:cs="Poppins"/>
          <w:b/>
          <w:sz w:val="16"/>
          <w:szCs w:val="18"/>
        </w:rPr>
        <w:t>:</w:t>
      </w:r>
      <w:r w:rsidRPr="001B36EE">
        <w:rPr>
          <w:rFonts w:ascii="Poppins" w:hAnsi="Poppins" w:cs="Poppins"/>
          <w:sz w:val="16"/>
          <w:szCs w:val="18"/>
        </w:rPr>
        <w:t>e3749</w:t>
      </w:r>
    </w:p>
    <w:p w:rsidRPr="001B36EE" w:rsidR="00211CB6" w:rsidP="001B36EE" w:rsidRDefault="00211CB6" w14:paraId="66AAE19F" w14:textId="77777777">
      <w:pPr>
        <w:pStyle w:val="EndNoteBibliography"/>
        <w:spacing w:after="0"/>
        <w:rPr>
          <w:rFonts w:ascii="Poppins" w:hAnsi="Poppins" w:cs="Poppins"/>
          <w:sz w:val="16"/>
          <w:szCs w:val="18"/>
        </w:rPr>
      </w:pPr>
      <w:r w:rsidRPr="001B36EE">
        <w:rPr>
          <w:rFonts w:ascii="Poppins" w:hAnsi="Poppins" w:cs="Poppins"/>
          <w:sz w:val="16"/>
          <w:szCs w:val="18"/>
        </w:rPr>
        <w:t>Hummel S</w:t>
      </w:r>
      <w:r w:rsidRPr="001B36EE">
        <w:rPr>
          <w:rFonts w:ascii="Poppins" w:hAnsi="Poppins" w:cs="Poppins"/>
          <w:i/>
          <w:sz w:val="16"/>
          <w:szCs w:val="18"/>
        </w:rPr>
        <w:t>, et al.</w:t>
      </w:r>
      <w:r w:rsidRPr="001B36EE">
        <w:rPr>
          <w:rFonts w:ascii="Poppins" w:hAnsi="Poppins" w:cs="Poppins"/>
          <w:sz w:val="16"/>
          <w:szCs w:val="18"/>
        </w:rPr>
        <w:t xml:space="preserve"> Children diagnosed with presymptomatic type 1 diabetes through public health screening have milder diabetes at clinical manifestation. </w:t>
      </w:r>
      <w:r w:rsidRPr="001B36EE">
        <w:rPr>
          <w:rFonts w:ascii="Poppins" w:hAnsi="Poppins" w:cs="Poppins"/>
          <w:i/>
          <w:sz w:val="16"/>
          <w:szCs w:val="18"/>
        </w:rPr>
        <w:t>Diabetologia</w:t>
      </w:r>
      <w:r w:rsidRPr="001B36EE">
        <w:rPr>
          <w:rFonts w:ascii="Poppins" w:hAnsi="Poppins" w:cs="Poppins"/>
          <w:sz w:val="16"/>
          <w:szCs w:val="18"/>
        </w:rPr>
        <w:t xml:space="preserve"> 2023;</w:t>
      </w:r>
      <w:r w:rsidRPr="001B36EE">
        <w:rPr>
          <w:rFonts w:ascii="Poppins" w:hAnsi="Poppins" w:cs="Poppins"/>
          <w:b/>
          <w:sz w:val="16"/>
          <w:szCs w:val="18"/>
        </w:rPr>
        <w:t>66</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1633-1642</w:t>
      </w:r>
    </w:p>
    <w:p w:rsidRPr="001B36EE" w:rsidR="00211CB6" w:rsidP="001B36EE" w:rsidRDefault="00211CB6" w14:paraId="49706BF6" w14:textId="77777777">
      <w:pPr>
        <w:pStyle w:val="EndNoteBibliography"/>
        <w:spacing w:after="0"/>
        <w:rPr>
          <w:rFonts w:ascii="Poppins" w:hAnsi="Poppins" w:cs="Poppins"/>
          <w:sz w:val="16"/>
          <w:szCs w:val="18"/>
        </w:rPr>
      </w:pPr>
      <w:r w:rsidRPr="001B36EE">
        <w:rPr>
          <w:rFonts w:ascii="Poppins" w:hAnsi="Poppins" w:cs="Poppins"/>
          <w:sz w:val="16"/>
          <w:szCs w:val="18"/>
        </w:rPr>
        <w:t>Insel RA</w:t>
      </w:r>
      <w:r w:rsidRPr="001B36EE">
        <w:rPr>
          <w:rFonts w:ascii="Poppins" w:hAnsi="Poppins" w:cs="Poppins"/>
          <w:i/>
          <w:sz w:val="16"/>
          <w:szCs w:val="18"/>
        </w:rPr>
        <w:t>, et al.</w:t>
      </w:r>
      <w:r w:rsidRPr="001B36EE">
        <w:rPr>
          <w:rFonts w:ascii="Poppins" w:hAnsi="Poppins" w:cs="Poppins"/>
          <w:sz w:val="16"/>
          <w:szCs w:val="18"/>
        </w:rPr>
        <w:t xml:space="preserve"> Staging presymptomatic type 1 diabetes: a scientific statement of JDRF, the Endocrine Society, and the American Diabetes Association. </w:t>
      </w:r>
      <w:r w:rsidRPr="001B36EE">
        <w:rPr>
          <w:rFonts w:ascii="Poppins" w:hAnsi="Poppins" w:cs="Poppins"/>
          <w:i/>
          <w:sz w:val="16"/>
          <w:szCs w:val="18"/>
        </w:rPr>
        <w:t>Diabetes Care</w:t>
      </w:r>
      <w:r w:rsidRPr="001B36EE">
        <w:rPr>
          <w:rFonts w:ascii="Poppins" w:hAnsi="Poppins" w:cs="Poppins"/>
          <w:sz w:val="16"/>
          <w:szCs w:val="18"/>
        </w:rPr>
        <w:t xml:space="preserve"> 2015;</w:t>
      </w:r>
      <w:r w:rsidRPr="001B36EE">
        <w:rPr>
          <w:rFonts w:ascii="Poppins" w:hAnsi="Poppins" w:cs="Poppins"/>
          <w:b/>
          <w:sz w:val="16"/>
          <w:szCs w:val="18"/>
        </w:rPr>
        <w:t>38</w:t>
      </w:r>
      <w:r w:rsidRPr="001B36EE">
        <w:rPr>
          <w:rFonts w:ascii="Poppins" w:hAnsi="Poppins" w:cs="Poppins"/>
          <w:sz w:val="16"/>
          <w:szCs w:val="18"/>
        </w:rPr>
        <w:t>(10)</w:t>
      </w:r>
      <w:r w:rsidRPr="001B36EE">
        <w:rPr>
          <w:rFonts w:ascii="Poppins" w:hAnsi="Poppins" w:cs="Poppins"/>
          <w:b/>
          <w:sz w:val="16"/>
          <w:szCs w:val="18"/>
        </w:rPr>
        <w:t>:</w:t>
      </w:r>
      <w:r w:rsidRPr="001B36EE">
        <w:rPr>
          <w:rFonts w:ascii="Poppins" w:hAnsi="Poppins" w:cs="Poppins"/>
          <w:sz w:val="16"/>
          <w:szCs w:val="18"/>
        </w:rPr>
        <w:t>1964-1974</w:t>
      </w:r>
    </w:p>
    <w:p w:rsidRPr="001B36EE" w:rsidR="00211CB6" w:rsidP="001B36EE" w:rsidRDefault="00211CB6" w14:paraId="2EF4E374" w14:textId="77777777">
      <w:pPr>
        <w:pStyle w:val="EndNoteBibliography"/>
        <w:spacing w:after="0"/>
        <w:rPr>
          <w:rFonts w:ascii="Poppins" w:hAnsi="Poppins" w:cs="Poppins"/>
          <w:sz w:val="16"/>
          <w:szCs w:val="18"/>
        </w:rPr>
      </w:pPr>
      <w:r w:rsidRPr="001B36EE">
        <w:rPr>
          <w:rFonts w:ascii="Poppins" w:hAnsi="Poppins" w:cs="Poppins"/>
          <w:sz w:val="16"/>
          <w:szCs w:val="18"/>
        </w:rPr>
        <w:t>Lledó-Delgado A</w:t>
      </w:r>
      <w:r w:rsidRPr="001B36EE">
        <w:rPr>
          <w:rFonts w:ascii="Poppins" w:hAnsi="Poppins" w:cs="Poppins"/>
          <w:i/>
          <w:sz w:val="16"/>
          <w:szCs w:val="18"/>
        </w:rPr>
        <w:t>, et al.</w:t>
      </w:r>
      <w:r w:rsidRPr="001B36EE">
        <w:rPr>
          <w:rFonts w:ascii="Poppins" w:hAnsi="Poppins" w:cs="Poppins"/>
          <w:sz w:val="16"/>
          <w:szCs w:val="18"/>
        </w:rPr>
        <w:t xml:space="preserve"> Teplizumab induces persistent changes in the antigen-specific repertoire in individuals at risk for type 1 diabetes. </w:t>
      </w:r>
      <w:r w:rsidRPr="001B36EE">
        <w:rPr>
          <w:rFonts w:ascii="Poppins" w:hAnsi="Poppins" w:cs="Poppins"/>
          <w:i/>
          <w:sz w:val="16"/>
          <w:szCs w:val="18"/>
        </w:rPr>
        <w:t>J Clin Invest</w:t>
      </w:r>
      <w:r w:rsidRPr="001B36EE">
        <w:rPr>
          <w:rFonts w:ascii="Poppins" w:hAnsi="Poppins" w:cs="Poppins"/>
          <w:sz w:val="16"/>
          <w:szCs w:val="18"/>
        </w:rPr>
        <w:t xml:space="preserve"> 2024;</w:t>
      </w:r>
      <w:r w:rsidRPr="001B36EE">
        <w:rPr>
          <w:rFonts w:ascii="Poppins" w:hAnsi="Poppins" w:cs="Poppins"/>
          <w:b/>
          <w:sz w:val="16"/>
          <w:szCs w:val="18"/>
        </w:rPr>
        <w:t>134</w:t>
      </w:r>
      <w:r w:rsidRPr="001B36EE">
        <w:rPr>
          <w:rFonts w:ascii="Poppins" w:hAnsi="Poppins" w:cs="Poppins"/>
          <w:sz w:val="16"/>
          <w:szCs w:val="18"/>
        </w:rPr>
        <w:t>(18)</w:t>
      </w:r>
      <w:r w:rsidRPr="001B36EE">
        <w:rPr>
          <w:rFonts w:ascii="Poppins" w:hAnsi="Poppins" w:cs="Poppins"/>
          <w:b/>
          <w:sz w:val="16"/>
          <w:szCs w:val="18"/>
        </w:rPr>
        <w:t>:</w:t>
      </w:r>
      <w:r w:rsidRPr="001B36EE">
        <w:rPr>
          <w:rFonts w:ascii="Poppins" w:hAnsi="Poppins" w:cs="Poppins"/>
          <w:sz w:val="16"/>
          <w:szCs w:val="18"/>
        </w:rPr>
        <w:t>e177492</w:t>
      </w:r>
    </w:p>
    <w:p w:rsidRPr="001B36EE" w:rsidR="00211CB6" w:rsidP="001B36EE" w:rsidRDefault="00211CB6" w14:paraId="7485EA20" w14:textId="77777777">
      <w:pPr>
        <w:pStyle w:val="EndNoteBibliography"/>
        <w:spacing w:after="0"/>
        <w:rPr>
          <w:rFonts w:ascii="Poppins" w:hAnsi="Poppins" w:cs="Poppins"/>
          <w:sz w:val="16"/>
          <w:szCs w:val="18"/>
        </w:rPr>
      </w:pPr>
      <w:r w:rsidRPr="001B36EE">
        <w:rPr>
          <w:rFonts w:ascii="Poppins" w:hAnsi="Poppins" w:cs="Poppins"/>
          <w:sz w:val="16"/>
          <w:szCs w:val="18"/>
        </w:rPr>
        <w:t>McQueen RB</w:t>
      </w:r>
      <w:r w:rsidRPr="001B36EE">
        <w:rPr>
          <w:rFonts w:ascii="Poppins" w:hAnsi="Poppins" w:cs="Poppins"/>
          <w:i/>
          <w:sz w:val="16"/>
          <w:szCs w:val="18"/>
        </w:rPr>
        <w:t>, et al.</w:t>
      </w:r>
      <w:r w:rsidRPr="001B36EE">
        <w:rPr>
          <w:rFonts w:ascii="Poppins" w:hAnsi="Poppins" w:cs="Poppins"/>
          <w:sz w:val="16"/>
          <w:szCs w:val="18"/>
        </w:rPr>
        <w:t xml:space="preserve"> Cost and Cost-effectiveness of Large-scale Screening for Type 1 Diabetes in Colorado. </w:t>
      </w:r>
      <w:r w:rsidRPr="001B36EE">
        <w:rPr>
          <w:rFonts w:ascii="Poppins" w:hAnsi="Poppins" w:cs="Poppins"/>
          <w:i/>
          <w:sz w:val="16"/>
          <w:szCs w:val="18"/>
        </w:rPr>
        <w:t>Diabetes Care</w:t>
      </w:r>
      <w:r w:rsidRPr="001B36EE">
        <w:rPr>
          <w:rFonts w:ascii="Poppins" w:hAnsi="Poppins" w:cs="Poppins"/>
          <w:sz w:val="16"/>
          <w:szCs w:val="18"/>
        </w:rPr>
        <w:t xml:space="preserve"> 2020;</w:t>
      </w:r>
      <w:r w:rsidRPr="001B36EE">
        <w:rPr>
          <w:rFonts w:ascii="Poppins" w:hAnsi="Poppins" w:cs="Poppins"/>
          <w:b/>
          <w:sz w:val="16"/>
          <w:szCs w:val="18"/>
        </w:rPr>
        <w:t>43</w:t>
      </w:r>
      <w:r w:rsidRPr="001B36EE">
        <w:rPr>
          <w:rFonts w:ascii="Poppins" w:hAnsi="Poppins" w:cs="Poppins"/>
          <w:sz w:val="16"/>
          <w:szCs w:val="18"/>
        </w:rPr>
        <w:t>(7)</w:t>
      </w:r>
      <w:r w:rsidRPr="001B36EE">
        <w:rPr>
          <w:rFonts w:ascii="Poppins" w:hAnsi="Poppins" w:cs="Poppins"/>
          <w:b/>
          <w:sz w:val="16"/>
          <w:szCs w:val="18"/>
        </w:rPr>
        <w:t>:</w:t>
      </w:r>
      <w:r w:rsidRPr="001B36EE">
        <w:rPr>
          <w:rFonts w:ascii="Poppins" w:hAnsi="Poppins" w:cs="Poppins"/>
          <w:sz w:val="16"/>
          <w:szCs w:val="18"/>
        </w:rPr>
        <w:t>1496-1503</w:t>
      </w:r>
    </w:p>
    <w:p w:rsidRPr="001B36EE" w:rsidR="00211CB6" w:rsidP="001B36EE" w:rsidRDefault="00211CB6" w14:paraId="2F0EE308" w14:textId="77777777">
      <w:pPr>
        <w:pStyle w:val="EndNoteBibliography"/>
        <w:spacing w:after="0"/>
        <w:rPr>
          <w:rFonts w:ascii="Poppins" w:hAnsi="Poppins" w:cs="Poppins"/>
          <w:sz w:val="16"/>
          <w:szCs w:val="18"/>
        </w:rPr>
      </w:pPr>
      <w:r w:rsidRPr="001B36EE">
        <w:rPr>
          <w:rFonts w:ascii="Poppins" w:hAnsi="Poppins" w:cs="Poppins"/>
          <w:sz w:val="16"/>
          <w:szCs w:val="18"/>
        </w:rPr>
        <w:t>Muñoz C</w:t>
      </w:r>
      <w:r w:rsidRPr="001B36EE">
        <w:rPr>
          <w:rFonts w:ascii="Poppins" w:hAnsi="Poppins" w:cs="Poppins"/>
          <w:i/>
          <w:sz w:val="16"/>
          <w:szCs w:val="18"/>
        </w:rPr>
        <w:t>, et al.</w:t>
      </w:r>
      <w:r w:rsidRPr="001B36EE">
        <w:rPr>
          <w:rFonts w:ascii="Poppins" w:hAnsi="Poppins" w:cs="Poppins"/>
          <w:sz w:val="16"/>
          <w:szCs w:val="18"/>
        </w:rPr>
        <w:t xml:space="preserve"> Misdiagnosis and diabetic ketoacidosis at diagnosis of type 1 diabetes: patient and caregiver perspectives. </w:t>
      </w:r>
      <w:r w:rsidRPr="001B36EE">
        <w:rPr>
          <w:rFonts w:ascii="Poppins" w:hAnsi="Poppins" w:cs="Poppins"/>
          <w:i/>
          <w:sz w:val="16"/>
          <w:szCs w:val="18"/>
        </w:rPr>
        <w:t>Clin Diabetes</w:t>
      </w:r>
      <w:r w:rsidRPr="001B36EE">
        <w:rPr>
          <w:rFonts w:ascii="Poppins" w:hAnsi="Poppins" w:cs="Poppins"/>
          <w:sz w:val="16"/>
          <w:szCs w:val="18"/>
        </w:rPr>
        <w:t xml:space="preserve"> 2019;</w:t>
      </w:r>
      <w:r w:rsidRPr="001B36EE">
        <w:rPr>
          <w:rFonts w:ascii="Poppins" w:hAnsi="Poppins" w:cs="Poppins"/>
          <w:b/>
          <w:sz w:val="16"/>
          <w:szCs w:val="18"/>
        </w:rPr>
        <w:t>37</w:t>
      </w:r>
      <w:r w:rsidRPr="001B36EE">
        <w:rPr>
          <w:rFonts w:ascii="Poppins" w:hAnsi="Poppins" w:cs="Poppins"/>
          <w:sz w:val="16"/>
          <w:szCs w:val="18"/>
        </w:rPr>
        <w:t>(3)</w:t>
      </w:r>
      <w:r w:rsidRPr="001B36EE">
        <w:rPr>
          <w:rFonts w:ascii="Poppins" w:hAnsi="Poppins" w:cs="Poppins"/>
          <w:b/>
          <w:sz w:val="16"/>
          <w:szCs w:val="18"/>
        </w:rPr>
        <w:t>:</w:t>
      </w:r>
      <w:r w:rsidRPr="001B36EE">
        <w:rPr>
          <w:rFonts w:ascii="Poppins" w:hAnsi="Poppins" w:cs="Poppins"/>
          <w:sz w:val="16"/>
          <w:szCs w:val="18"/>
        </w:rPr>
        <w:t>276-281</w:t>
      </w:r>
    </w:p>
    <w:p w:rsidRPr="001B36EE" w:rsidR="00211CB6" w:rsidP="001B36EE" w:rsidRDefault="00211CB6" w14:paraId="74A3F54A" w14:textId="77777777">
      <w:pPr>
        <w:pStyle w:val="EndNoteBibliography"/>
        <w:spacing w:after="0"/>
        <w:rPr>
          <w:rFonts w:ascii="Poppins" w:hAnsi="Poppins" w:cs="Poppins"/>
          <w:sz w:val="16"/>
          <w:szCs w:val="18"/>
        </w:rPr>
      </w:pPr>
      <w:r w:rsidRPr="001B36EE">
        <w:rPr>
          <w:rFonts w:ascii="Poppins" w:hAnsi="Poppins" w:cs="Poppins"/>
          <w:sz w:val="16"/>
          <w:szCs w:val="18"/>
        </w:rPr>
        <w:t>Nagy G</w:t>
      </w:r>
      <w:r w:rsidRPr="001B36EE">
        <w:rPr>
          <w:rFonts w:ascii="Poppins" w:hAnsi="Poppins" w:cs="Poppins"/>
          <w:i/>
          <w:sz w:val="16"/>
          <w:szCs w:val="18"/>
        </w:rPr>
        <w:t>, et al.</w:t>
      </w:r>
      <w:r w:rsidRPr="001B36EE">
        <w:rPr>
          <w:rFonts w:ascii="Poppins" w:hAnsi="Poppins" w:cs="Poppins"/>
          <w:sz w:val="16"/>
          <w:szCs w:val="18"/>
        </w:rPr>
        <w:t xml:space="preserve"> New therapeutic approaches for type 1 diabetes: Disease-modifying therapies. </w:t>
      </w:r>
      <w:r w:rsidRPr="001B36EE">
        <w:rPr>
          <w:rFonts w:ascii="Poppins" w:hAnsi="Poppins" w:cs="Poppins"/>
          <w:i/>
          <w:sz w:val="16"/>
          <w:szCs w:val="18"/>
        </w:rPr>
        <w:t>World J Diabetes</w:t>
      </w:r>
      <w:r w:rsidRPr="001B36EE">
        <w:rPr>
          <w:rFonts w:ascii="Poppins" w:hAnsi="Poppins" w:cs="Poppins"/>
          <w:sz w:val="16"/>
          <w:szCs w:val="18"/>
        </w:rPr>
        <w:t xml:space="preserve"> 2022;</w:t>
      </w:r>
      <w:r w:rsidRPr="001B36EE">
        <w:rPr>
          <w:rFonts w:ascii="Poppins" w:hAnsi="Poppins" w:cs="Poppins"/>
          <w:b/>
          <w:sz w:val="16"/>
          <w:szCs w:val="18"/>
        </w:rPr>
        <w:t>13</w:t>
      </w:r>
      <w:r w:rsidRPr="001B36EE">
        <w:rPr>
          <w:rFonts w:ascii="Poppins" w:hAnsi="Poppins" w:cs="Poppins"/>
          <w:sz w:val="16"/>
          <w:szCs w:val="18"/>
        </w:rPr>
        <w:t>(10)</w:t>
      </w:r>
      <w:r w:rsidRPr="001B36EE">
        <w:rPr>
          <w:rFonts w:ascii="Poppins" w:hAnsi="Poppins" w:cs="Poppins"/>
          <w:b/>
          <w:sz w:val="16"/>
          <w:szCs w:val="18"/>
        </w:rPr>
        <w:t>:</w:t>
      </w:r>
      <w:r w:rsidRPr="001B36EE">
        <w:rPr>
          <w:rFonts w:ascii="Poppins" w:hAnsi="Poppins" w:cs="Poppins"/>
          <w:sz w:val="16"/>
          <w:szCs w:val="18"/>
        </w:rPr>
        <w:t>835-850</w:t>
      </w:r>
    </w:p>
    <w:p w:rsidRPr="001B36EE" w:rsidR="00211CB6" w:rsidP="001B36EE" w:rsidRDefault="00211CB6" w14:paraId="72527040" w14:textId="77777777">
      <w:pPr>
        <w:pStyle w:val="EndNoteBibliography"/>
        <w:spacing w:after="0"/>
        <w:rPr>
          <w:rFonts w:ascii="Poppins" w:hAnsi="Poppins" w:cs="Poppins"/>
          <w:sz w:val="16"/>
          <w:szCs w:val="18"/>
        </w:rPr>
      </w:pPr>
      <w:r w:rsidRPr="001B36EE">
        <w:rPr>
          <w:rFonts w:ascii="Poppins" w:hAnsi="Poppins" w:cs="Poppins"/>
          <w:sz w:val="16"/>
          <w:szCs w:val="18"/>
        </w:rPr>
        <w:t xml:space="preserve">Narendran P. Screening for type 1 diabetes: are we nearly there yet? </w:t>
      </w:r>
      <w:r w:rsidRPr="001B36EE">
        <w:rPr>
          <w:rFonts w:ascii="Poppins" w:hAnsi="Poppins" w:cs="Poppins"/>
          <w:i/>
          <w:sz w:val="16"/>
          <w:szCs w:val="18"/>
        </w:rPr>
        <w:t>Diabetologia</w:t>
      </w:r>
      <w:r w:rsidRPr="001B36EE">
        <w:rPr>
          <w:rFonts w:ascii="Poppins" w:hAnsi="Poppins" w:cs="Poppins"/>
          <w:sz w:val="16"/>
          <w:szCs w:val="18"/>
        </w:rPr>
        <w:t xml:space="preserve"> 2019;</w:t>
      </w:r>
      <w:r w:rsidRPr="001B36EE">
        <w:rPr>
          <w:rFonts w:ascii="Poppins" w:hAnsi="Poppins" w:cs="Poppins"/>
          <w:b/>
          <w:sz w:val="16"/>
          <w:szCs w:val="18"/>
        </w:rPr>
        <w:t>62</w:t>
      </w:r>
      <w:r w:rsidRPr="001B36EE">
        <w:rPr>
          <w:rFonts w:ascii="Poppins" w:hAnsi="Poppins" w:cs="Poppins"/>
          <w:sz w:val="16"/>
          <w:szCs w:val="18"/>
        </w:rPr>
        <w:t>(1)</w:t>
      </w:r>
      <w:r w:rsidRPr="001B36EE">
        <w:rPr>
          <w:rFonts w:ascii="Poppins" w:hAnsi="Poppins" w:cs="Poppins"/>
          <w:b/>
          <w:sz w:val="16"/>
          <w:szCs w:val="18"/>
        </w:rPr>
        <w:t>:</w:t>
      </w:r>
      <w:r w:rsidRPr="001B36EE">
        <w:rPr>
          <w:rFonts w:ascii="Poppins" w:hAnsi="Poppins" w:cs="Poppins"/>
          <w:sz w:val="16"/>
          <w:szCs w:val="18"/>
        </w:rPr>
        <w:t>24-27</w:t>
      </w:r>
    </w:p>
    <w:p w:rsidRPr="001B36EE" w:rsidR="003C4A06" w:rsidP="001B36EE" w:rsidRDefault="003C4A06" w14:paraId="58C98D12" w14:textId="4735C095">
      <w:pPr>
        <w:tabs>
          <w:tab w:val="left" w:pos="2470"/>
        </w:tabs>
        <w:spacing w:line="240" w:lineRule="auto"/>
        <w:rPr>
          <w:rFonts w:ascii="Poppins" w:hAnsi="Poppins" w:cs="Poppins"/>
          <w:sz w:val="18"/>
          <w:szCs w:val="18"/>
        </w:rPr>
      </w:pPr>
      <w:r w:rsidRPr="001B36EE">
        <w:rPr>
          <w:rFonts w:ascii="Poppins" w:hAnsi="Poppins" w:cs="Poppins"/>
          <w:sz w:val="18"/>
          <w:szCs w:val="18"/>
        </w:rPr>
        <w:tab/>
      </w:r>
    </w:p>
    <w:p w:rsidRPr="001B36EE" w:rsidR="00211CB6" w:rsidP="001B36EE" w:rsidRDefault="00211CB6" w14:paraId="7B615FAB" w14:textId="006EC816">
      <w:pPr>
        <w:pStyle w:val="EndNoteBibliography"/>
        <w:spacing w:after="0"/>
        <w:rPr>
          <w:rFonts w:ascii="Poppins" w:hAnsi="Poppins" w:cs="Poppins"/>
          <w:sz w:val="16"/>
          <w:szCs w:val="18"/>
        </w:rPr>
      </w:pPr>
      <w:r w:rsidRPr="001B36EE">
        <w:rPr>
          <w:rFonts w:ascii="Poppins" w:hAnsi="Poppins" w:cs="Poppins"/>
          <w:sz w:val="16"/>
          <w:szCs w:val="18"/>
        </w:rPr>
        <w:t xml:space="preserve">NHS Business Service Authority. Prescribing for Diabetes - England - 2015/16 to 2022/23. 2023. Available from: </w:t>
      </w:r>
      <w:hyperlink w:history="1" r:id="rId29">
        <w:r w:rsidRPr="001B36EE">
          <w:rPr>
            <w:rStyle w:val="Hyperlink"/>
            <w:rFonts w:ascii="Poppins" w:hAnsi="Poppins" w:cs="Poppins"/>
            <w:sz w:val="16"/>
            <w:szCs w:val="18"/>
          </w:rPr>
          <w:t>https://www.nhsbsa.nhs.uk/statistical-collections/prescribing-diabetes-england/prescribing-diabetes-england-201516-202223</w:t>
        </w:r>
      </w:hyperlink>
      <w:r w:rsidRPr="001B36EE">
        <w:rPr>
          <w:rFonts w:ascii="Poppins" w:hAnsi="Poppins" w:cs="Poppins"/>
          <w:sz w:val="16"/>
          <w:szCs w:val="18"/>
        </w:rPr>
        <w:t>. [Accessed May 2026]</w:t>
      </w:r>
    </w:p>
    <w:p w:rsidRPr="001B36EE" w:rsidR="00211CB6" w:rsidP="001B36EE" w:rsidRDefault="00211CB6" w14:paraId="6D7BDF9A" w14:textId="72989AC7">
      <w:pPr>
        <w:pStyle w:val="EndNoteBibliography"/>
        <w:spacing w:after="0"/>
        <w:rPr>
          <w:rFonts w:ascii="Poppins" w:hAnsi="Poppins" w:cs="Poppins"/>
          <w:sz w:val="16"/>
          <w:szCs w:val="18"/>
        </w:rPr>
      </w:pPr>
      <w:r w:rsidRPr="001B36EE">
        <w:rPr>
          <w:rFonts w:ascii="Poppins" w:hAnsi="Poppins" w:cs="Poppins"/>
          <w:sz w:val="16"/>
          <w:szCs w:val="18"/>
        </w:rPr>
        <w:t xml:space="preserve">NHS Confederation. Unlocking prevention in integrated care systems: a guide to balancing short- and longer-trm impact. 2024. Available from: </w:t>
      </w:r>
      <w:hyperlink w:history="1" r:id="rId30">
        <w:r w:rsidRPr="001B36EE">
          <w:rPr>
            <w:rStyle w:val="Hyperlink"/>
            <w:rFonts w:ascii="Poppins" w:hAnsi="Poppins" w:cs="Poppins"/>
            <w:sz w:val="16"/>
            <w:szCs w:val="18"/>
          </w:rPr>
          <w:t>https://www.nhsconfed.org/publications/guide-unlocking-prevention-ICSs</w:t>
        </w:r>
      </w:hyperlink>
      <w:r w:rsidRPr="001B36EE">
        <w:rPr>
          <w:rFonts w:ascii="Poppins" w:hAnsi="Poppins" w:cs="Poppins"/>
          <w:sz w:val="16"/>
          <w:szCs w:val="18"/>
        </w:rPr>
        <w:t>. [Accessed May 2026]</w:t>
      </w:r>
    </w:p>
    <w:p w:rsidRPr="001B36EE" w:rsidR="00211CB6" w:rsidP="001B36EE" w:rsidRDefault="00211CB6" w14:paraId="1933CAC9" w14:textId="1C2013AD">
      <w:pPr>
        <w:pStyle w:val="EndNoteBibliography"/>
        <w:spacing w:after="0"/>
        <w:rPr>
          <w:rFonts w:ascii="Poppins" w:hAnsi="Poppins" w:cs="Poppins"/>
          <w:sz w:val="16"/>
          <w:szCs w:val="18"/>
        </w:rPr>
      </w:pPr>
      <w:r w:rsidRPr="001B36EE">
        <w:rPr>
          <w:rFonts w:ascii="Poppins" w:hAnsi="Poppins" w:cs="Poppins"/>
          <w:sz w:val="16"/>
          <w:szCs w:val="18"/>
        </w:rPr>
        <w:t xml:space="preserve">NHS Employers. Agenda for Change pay scales 2026/27. 2026. Available from: </w:t>
      </w:r>
      <w:hyperlink w:history="1" r:id="rId31">
        <w:r w:rsidRPr="001B36EE">
          <w:rPr>
            <w:rStyle w:val="Hyperlink"/>
            <w:rFonts w:ascii="Poppins" w:hAnsi="Poppins" w:cs="Poppins"/>
            <w:sz w:val="16"/>
            <w:szCs w:val="18"/>
          </w:rPr>
          <w:t>https://www.nhsemployers.org/articles/pay-scales-202627</w:t>
        </w:r>
      </w:hyperlink>
      <w:r w:rsidRPr="001B36EE">
        <w:rPr>
          <w:rFonts w:ascii="Poppins" w:hAnsi="Poppins" w:cs="Poppins"/>
          <w:sz w:val="16"/>
          <w:szCs w:val="18"/>
        </w:rPr>
        <w:t>. [Accessed May 2026]</w:t>
      </w:r>
    </w:p>
    <w:p w:rsidRPr="001B36EE" w:rsidR="00211CB6" w:rsidP="001B36EE" w:rsidRDefault="00211CB6" w14:paraId="028216CE" w14:textId="3B33296B">
      <w:pPr>
        <w:pStyle w:val="EndNoteBibliography"/>
        <w:spacing w:after="0"/>
        <w:rPr>
          <w:rFonts w:ascii="Poppins" w:hAnsi="Poppins" w:cs="Poppins"/>
          <w:sz w:val="16"/>
          <w:szCs w:val="18"/>
        </w:rPr>
      </w:pPr>
      <w:r w:rsidRPr="001B36EE">
        <w:rPr>
          <w:rFonts w:ascii="Poppins" w:hAnsi="Poppins" w:cs="Poppins"/>
          <w:sz w:val="16"/>
          <w:szCs w:val="18"/>
        </w:rPr>
        <w:t xml:space="preserve">NHS England. Delivering a ‘Net Zero’ National Health Service. 2022. Available from: </w:t>
      </w:r>
      <w:hyperlink w:history="1" r:id="rId32">
        <w:r w:rsidRPr="001B36EE">
          <w:rPr>
            <w:rStyle w:val="Hyperlink"/>
            <w:rFonts w:ascii="Poppins" w:hAnsi="Poppins" w:cs="Poppins"/>
            <w:sz w:val="16"/>
            <w:szCs w:val="18"/>
          </w:rPr>
          <w:t>https://www.england.nhs.uk/greenernhs/wp-content/uploads/sites/51/2022/07/B1728-delivering-a-net-zero-nhs-july-2022.pdf</w:t>
        </w:r>
      </w:hyperlink>
      <w:r w:rsidRPr="001B36EE">
        <w:rPr>
          <w:rFonts w:ascii="Poppins" w:hAnsi="Poppins" w:cs="Poppins"/>
          <w:sz w:val="16"/>
          <w:szCs w:val="18"/>
        </w:rPr>
        <w:t>. [Accessed May 2026]</w:t>
      </w:r>
    </w:p>
    <w:p w:rsidRPr="001B36EE" w:rsidR="00211CB6" w:rsidP="001B36EE" w:rsidRDefault="00211CB6" w14:paraId="7C9CF12E" w14:textId="423A2E2C">
      <w:pPr>
        <w:pStyle w:val="EndNoteBibliography"/>
        <w:spacing w:after="0"/>
        <w:rPr>
          <w:rFonts w:ascii="Poppins" w:hAnsi="Poppins" w:cs="Poppins"/>
          <w:sz w:val="16"/>
          <w:szCs w:val="18"/>
        </w:rPr>
      </w:pPr>
      <w:r w:rsidRPr="001B36EE">
        <w:rPr>
          <w:rFonts w:ascii="Poppins" w:hAnsi="Poppins" w:cs="Poppins"/>
          <w:sz w:val="16"/>
          <w:szCs w:val="18"/>
        </w:rPr>
        <w:t xml:space="preserve">NHS England. Population health management. 2023. Available from: </w:t>
      </w:r>
      <w:hyperlink w:history="1" r:id="rId33">
        <w:r w:rsidRPr="001B36EE">
          <w:rPr>
            <w:rStyle w:val="Hyperlink"/>
            <w:rFonts w:ascii="Poppins" w:hAnsi="Poppins" w:cs="Poppins"/>
            <w:sz w:val="16"/>
            <w:szCs w:val="18"/>
          </w:rPr>
          <w:t>https://www.england.nhs.uk/long-read/population-health-management/</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67856DF1" w14:textId="034E46F5">
      <w:pPr>
        <w:pStyle w:val="EndNoteBibliography"/>
        <w:spacing w:after="0"/>
        <w:rPr>
          <w:rFonts w:ascii="Poppins" w:hAnsi="Poppins" w:cs="Poppins"/>
          <w:sz w:val="16"/>
          <w:szCs w:val="18"/>
        </w:rPr>
      </w:pPr>
      <w:r w:rsidRPr="001B36EE">
        <w:rPr>
          <w:rFonts w:ascii="Poppins" w:hAnsi="Poppins" w:cs="Poppins"/>
          <w:sz w:val="16"/>
          <w:szCs w:val="18"/>
        </w:rPr>
        <w:t xml:space="preserve">NHS England. 2025/26 priorities and operational planning guidance. 2025. Available from: </w:t>
      </w:r>
      <w:hyperlink w:history="1" r:id="rId34">
        <w:r w:rsidRPr="001B36EE">
          <w:rPr>
            <w:rStyle w:val="Hyperlink"/>
            <w:rFonts w:ascii="Poppins" w:hAnsi="Poppins" w:cs="Poppins"/>
            <w:sz w:val="16"/>
            <w:szCs w:val="18"/>
          </w:rPr>
          <w:t>https://www.england.nhs.uk/long-read/2025-26-priorities-and-operational-planning-guidance/</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5E6ECB1E" w14:textId="0B66FD01">
      <w:pPr>
        <w:pStyle w:val="EndNoteBibliography"/>
        <w:spacing w:after="0"/>
        <w:rPr>
          <w:rFonts w:ascii="Poppins" w:hAnsi="Poppins" w:cs="Poppins"/>
          <w:sz w:val="16"/>
          <w:szCs w:val="18"/>
        </w:rPr>
      </w:pPr>
      <w:r w:rsidRPr="001B36EE">
        <w:rPr>
          <w:rFonts w:ascii="Poppins" w:hAnsi="Poppins" w:cs="Poppins"/>
          <w:sz w:val="16"/>
          <w:szCs w:val="18"/>
        </w:rPr>
        <w:t xml:space="preserve">NHS England. NHS Payment scheme 2026/27 Annex A - prices workbook. 2026. Available from: </w:t>
      </w:r>
      <w:hyperlink w:history="1" r:id="rId35">
        <w:r w:rsidRPr="001B36EE">
          <w:rPr>
            <w:rStyle w:val="Hyperlink"/>
            <w:rFonts w:ascii="Poppins" w:hAnsi="Poppins" w:cs="Poppins"/>
            <w:sz w:val="16"/>
            <w:szCs w:val="18"/>
          </w:rPr>
          <w:t>https://www.england.nhs.uk/publication/2026-27-nhs-payment-scheme/</w:t>
        </w:r>
      </w:hyperlink>
      <w:r w:rsidRPr="001B36EE">
        <w:rPr>
          <w:rFonts w:ascii="Poppins" w:hAnsi="Poppins" w:cs="Poppins"/>
          <w:sz w:val="16"/>
          <w:szCs w:val="18"/>
        </w:rPr>
        <w:t xml:space="preserve"> [Accessed May 2026]</w:t>
      </w:r>
    </w:p>
    <w:p w:rsidRPr="001B36EE" w:rsidR="00211CB6" w:rsidP="001B36EE" w:rsidRDefault="00211CB6" w14:paraId="35A44036" w14:textId="6F140B4B">
      <w:pPr>
        <w:pStyle w:val="EndNoteBibliography"/>
        <w:spacing w:after="0"/>
        <w:rPr>
          <w:rFonts w:ascii="Poppins" w:hAnsi="Poppins" w:cs="Poppins"/>
          <w:sz w:val="16"/>
          <w:szCs w:val="18"/>
        </w:rPr>
      </w:pPr>
      <w:r w:rsidRPr="001B36EE">
        <w:rPr>
          <w:rFonts w:ascii="Poppins" w:hAnsi="Poppins" w:cs="Poppins"/>
          <w:sz w:val="16"/>
          <w:szCs w:val="18"/>
        </w:rPr>
        <w:t xml:space="preserve">NHS UK. Symptoms of type 1 diabetes and how it's diagnosed. 2024. Available from: </w:t>
      </w:r>
      <w:hyperlink w:history="1" r:id="rId36">
        <w:r w:rsidRPr="001B36EE">
          <w:rPr>
            <w:rStyle w:val="Hyperlink"/>
            <w:rFonts w:ascii="Poppins" w:hAnsi="Poppins" w:cs="Poppins"/>
            <w:sz w:val="16"/>
            <w:szCs w:val="18"/>
          </w:rPr>
          <w:t>https://www.nhs.uk/conditions/type-1-diabetes/symptoms</w:t>
        </w:r>
      </w:hyperlink>
      <w:r w:rsidRPr="001B36EE">
        <w:rPr>
          <w:rFonts w:ascii="Poppins" w:hAnsi="Poppins" w:cs="Poppins"/>
          <w:sz w:val="16"/>
          <w:szCs w:val="18"/>
        </w:rPr>
        <w:t>. [Accessed May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3864EA46" w14:textId="4254AADB">
      <w:pPr>
        <w:pStyle w:val="EndNoteBibliography"/>
        <w:spacing w:after="0"/>
        <w:rPr>
          <w:rFonts w:ascii="Poppins" w:hAnsi="Poppins" w:cs="Poppins"/>
          <w:sz w:val="16"/>
          <w:szCs w:val="18"/>
        </w:rPr>
      </w:pPr>
      <w:r w:rsidRPr="001B36EE">
        <w:rPr>
          <w:rFonts w:ascii="Poppins" w:hAnsi="Poppins" w:cs="Poppins"/>
          <w:sz w:val="16"/>
          <w:szCs w:val="18"/>
        </w:rPr>
        <w:t xml:space="preserve">NICE. Transition from children's to adults' services for young people using health or social care services Appendix C3- Economic report. 2016. Available from: </w:t>
      </w:r>
      <w:hyperlink w:history="1" r:id="rId37">
        <w:r w:rsidRPr="001B36EE">
          <w:rPr>
            <w:rStyle w:val="Hyperlink"/>
            <w:rFonts w:ascii="Poppins" w:hAnsi="Poppins" w:cs="Poppins"/>
            <w:sz w:val="16"/>
            <w:szCs w:val="18"/>
          </w:rPr>
          <w:t>https://www.nice.org.uk/guidance/ng43/evidence/appendix-c3-economic-report-pdf-2360240178</w:t>
        </w:r>
      </w:hyperlink>
      <w:r w:rsidRPr="001B36EE">
        <w:rPr>
          <w:rFonts w:ascii="Poppins" w:hAnsi="Poppins" w:cs="Poppins"/>
          <w:sz w:val="16"/>
          <w:szCs w:val="18"/>
        </w:rPr>
        <w:t>. [Accessed May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522B75A8" w14:textId="548F5A74">
      <w:pPr>
        <w:pStyle w:val="EndNoteBibliography"/>
        <w:spacing w:after="0"/>
        <w:rPr>
          <w:rFonts w:ascii="Poppins" w:hAnsi="Poppins" w:cs="Poppins"/>
          <w:sz w:val="16"/>
          <w:szCs w:val="18"/>
        </w:rPr>
      </w:pPr>
      <w:r w:rsidRPr="001B36EE">
        <w:rPr>
          <w:rFonts w:ascii="Poppins" w:hAnsi="Poppins" w:cs="Poppins"/>
          <w:sz w:val="16"/>
          <w:szCs w:val="18"/>
        </w:rPr>
        <w:t xml:space="preserve">NICE. Hybrid closed loop systems for managing blood glucose levels in type 1 diabetes. 2023. Available from: </w:t>
      </w:r>
      <w:hyperlink w:history="1" r:id="rId38">
        <w:r w:rsidRPr="001B36EE">
          <w:rPr>
            <w:rStyle w:val="Hyperlink"/>
            <w:rFonts w:ascii="Poppins" w:hAnsi="Poppins" w:cs="Poppins"/>
            <w:sz w:val="16"/>
            <w:szCs w:val="18"/>
          </w:rPr>
          <w:t>https://www.nice.org.uk/guidance/ta943</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0F2FEBF6" w14:textId="48A76A38">
      <w:pPr>
        <w:pStyle w:val="EndNoteBibliography"/>
        <w:spacing w:after="0"/>
        <w:rPr>
          <w:rFonts w:ascii="Poppins" w:hAnsi="Poppins" w:cs="Poppins"/>
          <w:sz w:val="16"/>
          <w:szCs w:val="18"/>
        </w:rPr>
      </w:pPr>
      <w:r w:rsidRPr="001B36EE">
        <w:rPr>
          <w:rFonts w:ascii="Poppins" w:hAnsi="Poppins" w:cs="Poppins"/>
          <w:sz w:val="16"/>
          <w:szCs w:val="18"/>
        </w:rPr>
        <w:t xml:space="preserve">NICE. ‘Artificial pancreas’ transforming the lives of thousands of children and young people with type 1 diabetes. 2025a. Available from: </w:t>
      </w:r>
      <w:hyperlink w:history="1" r:id="rId39">
        <w:r w:rsidRPr="001B36EE">
          <w:rPr>
            <w:rStyle w:val="Hyperlink"/>
            <w:rFonts w:ascii="Poppins" w:hAnsi="Poppins" w:cs="Poppins"/>
            <w:sz w:val="16"/>
            <w:szCs w:val="18"/>
          </w:rPr>
          <w:t>https://www.nice.org.uk/news/articles/-artificial-pancreas-transforming-lives-of-thousands-of-children-and-young-people-with-type-1-diabetes</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10A17853" w14:textId="062A7ED1">
      <w:pPr>
        <w:pStyle w:val="EndNoteBibliography"/>
        <w:spacing w:after="0"/>
        <w:rPr>
          <w:rFonts w:ascii="Poppins" w:hAnsi="Poppins" w:cs="Poppins"/>
          <w:sz w:val="16"/>
          <w:szCs w:val="18"/>
        </w:rPr>
      </w:pPr>
      <w:r w:rsidRPr="001B36EE">
        <w:rPr>
          <w:rFonts w:ascii="Poppins" w:hAnsi="Poppins" w:cs="Poppins"/>
          <w:sz w:val="16"/>
          <w:szCs w:val="18"/>
        </w:rPr>
        <w:t xml:space="preserve">NICE. Single technology appraisal. Teplizumab for delaying the onset of stage 3 type 1 diabetes in people 8 years and over with stage 2 type 1 diabetes [ID6259] Committee Papers 2025b. Available from: </w:t>
      </w:r>
      <w:hyperlink w:history="1" r:id="rId40">
        <w:r w:rsidRPr="001B36EE">
          <w:rPr>
            <w:rStyle w:val="Hyperlink"/>
            <w:rFonts w:ascii="Poppins" w:hAnsi="Poppins" w:cs="Poppins"/>
            <w:sz w:val="16"/>
            <w:szCs w:val="18"/>
          </w:rPr>
          <w:t>https://www.nice.org.uk/guidance/gid-ta10981/documents/committee-papers</w:t>
        </w:r>
      </w:hyperlink>
      <w:r w:rsidRPr="001B36EE">
        <w:rPr>
          <w:rFonts w:ascii="Poppins" w:hAnsi="Poppins" w:cs="Poppins"/>
          <w:sz w:val="16"/>
          <w:szCs w:val="18"/>
        </w:rPr>
        <w:t>. [Accessed May 2026]</w:t>
      </w:r>
    </w:p>
    <w:p w:rsidRPr="001B36EE" w:rsidR="00211CB6" w:rsidP="001B36EE" w:rsidRDefault="00211CB6" w14:paraId="37322659" w14:textId="6F7C0886">
      <w:pPr>
        <w:pStyle w:val="EndNoteBibliography"/>
        <w:spacing w:after="0"/>
        <w:rPr>
          <w:rFonts w:ascii="Poppins" w:hAnsi="Poppins" w:cs="Poppins"/>
          <w:sz w:val="16"/>
          <w:szCs w:val="18"/>
        </w:rPr>
      </w:pPr>
      <w:r w:rsidRPr="001B36EE">
        <w:rPr>
          <w:rFonts w:ascii="Poppins" w:hAnsi="Poppins" w:cs="Poppins"/>
          <w:sz w:val="16"/>
          <w:szCs w:val="18"/>
        </w:rPr>
        <w:t xml:space="preserve">NICE. BNF. Cetirizine medicinal forms. 2026a. Available from: </w:t>
      </w:r>
      <w:hyperlink w:history="1" w:anchor="oral-tablet" r:id="rId41">
        <w:r w:rsidRPr="001B36EE">
          <w:rPr>
            <w:rStyle w:val="Hyperlink"/>
            <w:rFonts w:ascii="Poppins" w:hAnsi="Poppins" w:cs="Poppins"/>
            <w:sz w:val="16"/>
            <w:szCs w:val="18"/>
          </w:rPr>
          <w:t>https://bnf.nice.org.uk/drugs/cetirizine-hydrochloride/medicinal-forms/#oral-tablet</w:t>
        </w:r>
      </w:hyperlink>
      <w:r w:rsidRPr="001B36EE">
        <w:rPr>
          <w:rFonts w:ascii="Poppins" w:hAnsi="Poppins" w:cs="Poppins"/>
          <w:sz w:val="16"/>
          <w:szCs w:val="18"/>
        </w:rPr>
        <w:t>. [Accessed May 2026]</w:t>
      </w:r>
    </w:p>
    <w:p w:rsidRPr="001B36EE" w:rsidR="00211CB6" w:rsidP="001B36EE" w:rsidRDefault="00211CB6" w14:paraId="09D795AF" w14:textId="432FD3B4">
      <w:pPr>
        <w:pStyle w:val="EndNoteBibliography"/>
        <w:spacing w:after="0"/>
        <w:rPr>
          <w:rFonts w:ascii="Poppins" w:hAnsi="Poppins" w:cs="Poppins"/>
          <w:sz w:val="16"/>
          <w:szCs w:val="18"/>
        </w:rPr>
      </w:pPr>
      <w:r w:rsidRPr="001B36EE">
        <w:rPr>
          <w:rFonts w:ascii="Poppins" w:hAnsi="Poppins" w:cs="Poppins"/>
          <w:sz w:val="16"/>
          <w:szCs w:val="18"/>
        </w:rPr>
        <w:t xml:space="preserve">NICE. BNF. Glucose medicinal forms. 2026b. Available from: </w:t>
      </w:r>
      <w:hyperlink w:history="1" r:id="rId42">
        <w:r w:rsidRPr="001B36EE">
          <w:rPr>
            <w:rStyle w:val="Hyperlink"/>
            <w:rFonts w:ascii="Poppins" w:hAnsi="Poppins" w:cs="Poppins"/>
            <w:sz w:val="16"/>
            <w:szCs w:val="18"/>
          </w:rPr>
          <w:t>https://bnf.nice.org.uk/drugs/glucose/medicinal-forms/</w:t>
        </w:r>
      </w:hyperlink>
      <w:r w:rsidRPr="001B36EE">
        <w:rPr>
          <w:rFonts w:ascii="Poppins" w:hAnsi="Poppins" w:cs="Poppins"/>
          <w:sz w:val="16"/>
          <w:szCs w:val="18"/>
        </w:rPr>
        <w:t xml:space="preserve"> [Accessed May 2026]</w:t>
      </w:r>
    </w:p>
    <w:p w:rsidRPr="001B36EE" w:rsidR="00211CB6" w:rsidP="001B36EE" w:rsidRDefault="00211CB6" w14:paraId="2A352E23" w14:textId="754ADE4A">
      <w:pPr>
        <w:pStyle w:val="EndNoteBibliography"/>
        <w:spacing w:after="0"/>
        <w:rPr>
          <w:rFonts w:ascii="Poppins" w:hAnsi="Poppins" w:cs="Poppins"/>
          <w:sz w:val="16"/>
          <w:szCs w:val="18"/>
        </w:rPr>
      </w:pPr>
      <w:r w:rsidRPr="001B36EE">
        <w:rPr>
          <w:rFonts w:ascii="Poppins" w:hAnsi="Poppins" w:cs="Poppins"/>
          <w:sz w:val="16"/>
          <w:szCs w:val="18"/>
        </w:rPr>
        <w:t xml:space="preserve">NICE. BNF. Ibuprofen medicinal forms. 2026c. Available from: </w:t>
      </w:r>
      <w:hyperlink w:history="1" r:id="rId43">
        <w:r w:rsidRPr="001B36EE">
          <w:rPr>
            <w:rStyle w:val="Hyperlink"/>
            <w:rFonts w:ascii="Poppins" w:hAnsi="Poppins" w:cs="Poppins"/>
            <w:sz w:val="16"/>
            <w:szCs w:val="18"/>
          </w:rPr>
          <w:t>https://bnf.nice.org.uk/drugs/ibuprofen/medicinal-forms/</w:t>
        </w:r>
      </w:hyperlink>
      <w:r w:rsidRPr="001B36EE">
        <w:rPr>
          <w:rFonts w:ascii="Poppins" w:hAnsi="Poppins" w:cs="Poppins"/>
          <w:sz w:val="16"/>
          <w:szCs w:val="18"/>
        </w:rPr>
        <w:t>. [Accessed May 2026]</w:t>
      </w:r>
    </w:p>
    <w:p w:rsidRPr="001B36EE" w:rsidR="00211CB6" w:rsidP="001B36EE" w:rsidRDefault="00211CB6" w14:paraId="5663ED22" w14:textId="32DD79E0">
      <w:pPr>
        <w:pStyle w:val="EndNoteBibliography"/>
        <w:spacing w:after="0"/>
        <w:rPr>
          <w:rFonts w:ascii="Poppins" w:hAnsi="Poppins" w:cs="Poppins"/>
          <w:sz w:val="16"/>
          <w:szCs w:val="18"/>
        </w:rPr>
      </w:pPr>
      <w:r w:rsidRPr="001B36EE">
        <w:rPr>
          <w:rFonts w:ascii="Poppins" w:hAnsi="Poppins" w:cs="Poppins"/>
          <w:sz w:val="16"/>
          <w:szCs w:val="18"/>
        </w:rPr>
        <w:t xml:space="preserve">NICE. BNF. Ondansetron medicinal forms. 2026d. Available from: </w:t>
      </w:r>
      <w:hyperlink w:history="1" r:id="rId44">
        <w:r w:rsidRPr="001B36EE">
          <w:rPr>
            <w:rStyle w:val="Hyperlink"/>
            <w:rFonts w:ascii="Poppins" w:hAnsi="Poppins" w:cs="Poppins"/>
            <w:sz w:val="16"/>
            <w:szCs w:val="18"/>
          </w:rPr>
          <w:t>https://bnf.nice.org.uk/drugs/ondansetron/medicinal-forms/</w:t>
        </w:r>
      </w:hyperlink>
      <w:r w:rsidRPr="001B36EE">
        <w:rPr>
          <w:rFonts w:ascii="Poppins" w:hAnsi="Poppins" w:cs="Poppins"/>
          <w:sz w:val="16"/>
          <w:szCs w:val="18"/>
        </w:rPr>
        <w:t>. [Accessed May 2026]</w:t>
      </w:r>
    </w:p>
    <w:p w:rsidRPr="001B36EE" w:rsidR="00211CB6" w:rsidP="001B36EE" w:rsidRDefault="00211CB6" w14:paraId="149CBC64" w14:textId="79C7397A">
      <w:pPr>
        <w:pStyle w:val="EndNoteBibliography"/>
        <w:spacing w:after="0"/>
        <w:rPr>
          <w:rFonts w:ascii="Poppins" w:hAnsi="Poppins" w:cs="Poppins"/>
          <w:sz w:val="16"/>
          <w:szCs w:val="18"/>
        </w:rPr>
      </w:pPr>
      <w:r w:rsidRPr="001B36EE">
        <w:rPr>
          <w:rFonts w:ascii="Poppins" w:hAnsi="Poppins" w:cs="Poppins"/>
          <w:sz w:val="16"/>
          <w:szCs w:val="18"/>
        </w:rPr>
        <w:t xml:space="preserve">NICE CKS. Diabetes- type 1. What are the complications? 2024. Available from: </w:t>
      </w:r>
      <w:hyperlink w:history="1" r:id="rId45">
        <w:r w:rsidRPr="001B36EE">
          <w:rPr>
            <w:rStyle w:val="Hyperlink"/>
            <w:rFonts w:ascii="Poppins" w:hAnsi="Poppins" w:cs="Poppins"/>
            <w:sz w:val="16"/>
            <w:szCs w:val="18"/>
          </w:rPr>
          <w:t>https://cks.nice.org.uk/topics/diabetes-type-1/background-information/complications</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5A1CE7D1" w14:textId="4BE3B65B">
      <w:pPr>
        <w:pStyle w:val="EndNoteBibliography"/>
        <w:spacing w:after="0"/>
        <w:rPr>
          <w:rFonts w:ascii="Poppins" w:hAnsi="Poppins" w:cs="Poppins"/>
          <w:sz w:val="16"/>
          <w:szCs w:val="18"/>
        </w:rPr>
      </w:pPr>
      <w:r w:rsidRPr="001B36EE">
        <w:rPr>
          <w:rFonts w:ascii="Poppins" w:hAnsi="Poppins" w:cs="Poppins"/>
          <w:sz w:val="16"/>
          <w:szCs w:val="18"/>
        </w:rPr>
        <w:t xml:space="preserve">NICE NG17. Type 1 diabetes in adults: diagnosis and management. 2022. Available from: </w:t>
      </w:r>
      <w:hyperlink w:history="1" r:id="rId46">
        <w:r w:rsidRPr="001B36EE">
          <w:rPr>
            <w:rStyle w:val="Hyperlink"/>
            <w:rFonts w:ascii="Poppins" w:hAnsi="Poppins" w:cs="Poppins"/>
            <w:sz w:val="16"/>
            <w:szCs w:val="18"/>
          </w:rPr>
          <w:t>https://www.nice.org.uk/guidance/ng17</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7A46FE30" w14:textId="2DF4761A">
      <w:pPr>
        <w:pStyle w:val="EndNoteBibliography"/>
        <w:spacing w:after="0"/>
        <w:rPr>
          <w:rFonts w:ascii="Poppins" w:hAnsi="Poppins" w:cs="Poppins"/>
          <w:sz w:val="16"/>
          <w:szCs w:val="18"/>
        </w:rPr>
      </w:pPr>
      <w:r w:rsidRPr="001B36EE">
        <w:rPr>
          <w:rFonts w:ascii="Poppins" w:hAnsi="Poppins" w:cs="Poppins"/>
          <w:sz w:val="16"/>
          <w:szCs w:val="18"/>
        </w:rPr>
        <w:t xml:space="preserve">NICE NG18. Diabetes (type 1 and type 2) in children and young people: diagnosis and management. 2023. Available from: </w:t>
      </w:r>
      <w:hyperlink w:history="1" r:id="rId47">
        <w:r w:rsidRPr="001B36EE">
          <w:rPr>
            <w:rStyle w:val="Hyperlink"/>
            <w:rFonts w:ascii="Poppins" w:hAnsi="Poppins" w:cs="Poppins"/>
            <w:sz w:val="16"/>
            <w:szCs w:val="18"/>
          </w:rPr>
          <w:t>www.nice.org.uk/guidance/ng18</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1C33832C" w14:textId="76A85D31">
      <w:pPr>
        <w:pStyle w:val="EndNoteBibliography"/>
        <w:spacing w:after="0"/>
        <w:rPr>
          <w:rFonts w:ascii="Poppins" w:hAnsi="Poppins" w:cs="Poppins"/>
          <w:sz w:val="16"/>
          <w:szCs w:val="18"/>
        </w:rPr>
      </w:pPr>
      <w:r w:rsidRPr="001B36EE">
        <w:rPr>
          <w:rFonts w:ascii="Poppins" w:hAnsi="Poppins" w:cs="Poppins"/>
          <w:sz w:val="16"/>
          <w:szCs w:val="18"/>
        </w:rPr>
        <w:t xml:space="preserve">ONS. Estimates of the population for the UK, England, Wales, Scotland, and Northern Ireland. 2024. Available from: </w:t>
      </w:r>
      <w:hyperlink w:history="1" r:id="rId48">
        <w:r w:rsidRPr="001B36EE">
          <w:rPr>
            <w:rStyle w:val="Hyperlink"/>
            <w:rFonts w:ascii="Poppins" w:hAnsi="Poppins" w:cs="Poppins"/>
            <w:sz w:val="16"/>
            <w:szCs w:val="18"/>
          </w:rPr>
          <w:t>https://www.ons.gov.uk/peoplepopulationandcommunity/populationandmigration/populationestimates/datasets/populationestimatesforukenglandandwalesscotlandandnorthernireland</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3A4E594E" w14:textId="47EA58D4">
      <w:pPr>
        <w:pStyle w:val="EndNoteBibliography"/>
        <w:spacing w:after="0"/>
        <w:rPr>
          <w:rFonts w:ascii="Poppins" w:hAnsi="Poppins" w:cs="Poppins"/>
          <w:sz w:val="16"/>
          <w:szCs w:val="18"/>
        </w:rPr>
      </w:pPr>
      <w:r w:rsidRPr="001B36EE">
        <w:rPr>
          <w:rFonts w:ascii="Poppins" w:hAnsi="Poppins" w:cs="Poppins"/>
          <w:sz w:val="16"/>
          <w:szCs w:val="18"/>
        </w:rPr>
        <w:t xml:space="preserve">PSSRU. Unit cost of health and social care. 2024. Available from: </w:t>
      </w:r>
      <w:hyperlink w:history="1" r:id="rId49">
        <w:r w:rsidRPr="001B36EE">
          <w:rPr>
            <w:rStyle w:val="Hyperlink"/>
            <w:rFonts w:ascii="Poppins" w:hAnsi="Poppins" w:cs="Poppins"/>
            <w:sz w:val="16"/>
            <w:szCs w:val="18"/>
          </w:rPr>
          <w:t>https://pssru.ac.uk/project-pages/unit-costs/unit-costs-of-health-and-social-care-2024/</w:t>
        </w:r>
      </w:hyperlink>
      <w:r w:rsidRPr="001B36EE">
        <w:rPr>
          <w:rFonts w:ascii="Poppins" w:hAnsi="Poppins" w:cs="Poppins"/>
          <w:sz w:val="16"/>
          <w:szCs w:val="18"/>
        </w:rPr>
        <w:t>. [Accessed May 2026]</w:t>
      </w:r>
    </w:p>
    <w:p w:rsidRPr="001B36EE" w:rsidR="00211CB6" w:rsidP="001B36EE" w:rsidRDefault="00211CB6" w14:paraId="47D44AC2" w14:textId="77777777">
      <w:pPr>
        <w:pStyle w:val="EndNoteBibliography"/>
        <w:spacing w:after="0"/>
        <w:rPr>
          <w:rFonts w:ascii="Poppins" w:hAnsi="Poppins" w:cs="Poppins"/>
          <w:sz w:val="16"/>
          <w:szCs w:val="18"/>
          <w:lang w:val="fr-FR"/>
        </w:rPr>
      </w:pPr>
      <w:r w:rsidRPr="001B36EE">
        <w:rPr>
          <w:rFonts w:ascii="Poppins" w:hAnsi="Poppins" w:cs="Poppins"/>
          <w:sz w:val="16"/>
          <w:szCs w:val="18"/>
        </w:rPr>
        <w:t xml:space="preserve">Pugliese A. Insulitis in the pathogenesis of type 1 diabetes. </w:t>
      </w:r>
      <w:r w:rsidRPr="001B36EE">
        <w:rPr>
          <w:rFonts w:ascii="Poppins" w:hAnsi="Poppins" w:cs="Poppins"/>
          <w:i/>
          <w:sz w:val="16"/>
          <w:szCs w:val="18"/>
          <w:lang w:val="fr-FR"/>
        </w:rPr>
        <w:t>Pediatr Diabetes</w:t>
      </w:r>
      <w:r w:rsidRPr="001B36EE">
        <w:rPr>
          <w:rFonts w:ascii="Poppins" w:hAnsi="Poppins" w:cs="Poppins"/>
          <w:sz w:val="16"/>
          <w:szCs w:val="18"/>
          <w:lang w:val="fr-FR"/>
        </w:rPr>
        <w:t xml:space="preserve"> 2016;</w:t>
      </w:r>
      <w:r w:rsidRPr="001B36EE">
        <w:rPr>
          <w:rFonts w:ascii="Poppins" w:hAnsi="Poppins" w:cs="Poppins"/>
          <w:b/>
          <w:sz w:val="16"/>
          <w:szCs w:val="18"/>
          <w:lang w:val="fr-FR"/>
        </w:rPr>
        <w:t>17</w:t>
      </w:r>
      <w:r w:rsidRPr="001B36EE">
        <w:rPr>
          <w:rFonts w:ascii="Poppins" w:hAnsi="Poppins" w:cs="Poppins"/>
          <w:sz w:val="16"/>
          <w:szCs w:val="18"/>
          <w:lang w:val="fr-FR"/>
        </w:rPr>
        <w:t>(Suppl 22)</w:t>
      </w:r>
      <w:r w:rsidRPr="001B36EE">
        <w:rPr>
          <w:rFonts w:ascii="Poppins" w:hAnsi="Poppins" w:cs="Poppins"/>
          <w:b/>
          <w:sz w:val="16"/>
          <w:szCs w:val="18"/>
          <w:lang w:val="fr-FR"/>
        </w:rPr>
        <w:t>:</w:t>
      </w:r>
      <w:r w:rsidRPr="001B36EE">
        <w:rPr>
          <w:rFonts w:ascii="Poppins" w:hAnsi="Poppins" w:cs="Poppins"/>
          <w:sz w:val="16"/>
          <w:szCs w:val="18"/>
          <w:lang w:val="fr-FR"/>
        </w:rPr>
        <w:t>31-36</w:t>
      </w:r>
    </w:p>
    <w:p w:rsidRPr="001B36EE" w:rsidR="00211CB6" w:rsidP="001B36EE" w:rsidRDefault="00211CB6" w14:paraId="066FC4D6" w14:textId="77777777">
      <w:pPr>
        <w:pStyle w:val="EndNoteBibliography"/>
        <w:spacing w:after="0"/>
        <w:rPr>
          <w:rFonts w:ascii="Poppins" w:hAnsi="Poppins" w:cs="Poppins"/>
          <w:sz w:val="16"/>
          <w:szCs w:val="18"/>
        </w:rPr>
      </w:pPr>
      <w:r w:rsidRPr="001B36EE">
        <w:rPr>
          <w:rFonts w:ascii="Poppins" w:hAnsi="Poppins" w:cs="Poppins"/>
          <w:sz w:val="16"/>
          <w:szCs w:val="18"/>
          <w:lang w:val="fr-FR"/>
        </w:rPr>
        <w:t>Quinn LM</w:t>
      </w:r>
      <w:r w:rsidRPr="001B36EE">
        <w:rPr>
          <w:rFonts w:ascii="Poppins" w:hAnsi="Poppins" w:cs="Poppins"/>
          <w:i/>
          <w:sz w:val="16"/>
          <w:szCs w:val="18"/>
          <w:lang w:val="fr-FR"/>
        </w:rPr>
        <w:t>, et al.</w:t>
      </w:r>
      <w:r w:rsidRPr="001B36EE">
        <w:rPr>
          <w:rFonts w:ascii="Poppins" w:hAnsi="Poppins" w:cs="Poppins"/>
          <w:sz w:val="16"/>
          <w:szCs w:val="18"/>
          <w:lang w:val="fr-FR"/>
        </w:rPr>
        <w:t xml:space="preserve"> </w:t>
      </w:r>
      <w:r w:rsidRPr="001B36EE">
        <w:rPr>
          <w:rFonts w:ascii="Poppins" w:hAnsi="Poppins" w:cs="Poppins"/>
          <w:sz w:val="16"/>
          <w:szCs w:val="18"/>
        </w:rPr>
        <w:t xml:space="preserve">What does the licensing of teplizumab mean for diabetes care? </w:t>
      </w:r>
      <w:r w:rsidRPr="001B36EE">
        <w:rPr>
          <w:rFonts w:ascii="Poppins" w:hAnsi="Poppins" w:cs="Poppins"/>
          <w:i/>
          <w:sz w:val="16"/>
          <w:szCs w:val="18"/>
        </w:rPr>
        <w:t>Diabetes, Obesity and Metabolism</w:t>
      </w:r>
      <w:r w:rsidRPr="001B36EE">
        <w:rPr>
          <w:rFonts w:ascii="Poppins" w:hAnsi="Poppins" w:cs="Poppins"/>
          <w:sz w:val="16"/>
          <w:szCs w:val="18"/>
        </w:rPr>
        <w:t xml:space="preserve"> 2023;</w:t>
      </w:r>
      <w:r w:rsidRPr="001B36EE">
        <w:rPr>
          <w:rFonts w:ascii="Poppins" w:hAnsi="Poppins" w:cs="Poppins"/>
          <w:b/>
          <w:sz w:val="16"/>
          <w:szCs w:val="18"/>
        </w:rPr>
        <w:t>25</w:t>
      </w:r>
      <w:r w:rsidRPr="001B36EE">
        <w:rPr>
          <w:rFonts w:ascii="Poppins" w:hAnsi="Poppins" w:cs="Poppins"/>
          <w:sz w:val="16"/>
          <w:szCs w:val="18"/>
        </w:rPr>
        <w:t>(8)</w:t>
      </w:r>
      <w:r w:rsidRPr="001B36EE">
        <w:rPr>
          <w:rFonts w:ascii="Poppins" w:hAnsi="Poppins" w:cs="Poppins"/>
          <w:b/>
          <w:sz w:val="16"/>
          <w:szCs w:val="18"/>
        </w:rPr>
        <w:t>:</w:t>
      </w:r>
      <w:r w:rsidRPr="001B36EE">
        <w:rPr>
          <w:rFonts w:ascii="Poppins" w:hAnsi="Poppins" w:cs="Poppins"/>
          <w:sz w:val="16"/>
          <w:szCs w:val="18"/>
        </w:rPr>
        <w:t>2051-2057</w:t>
      </w:r>
    </w:p>
    <w:p w:rsidRPr="001B36EE" w:rsidR="00211CB6" w:rsidP="001B36EE" w:rsidRDefault="00211CB6" w14:paraId="011BEB67" w14:textId="7BDA400B">
      <w:pPr>
        <w:pStyle w:val="EndNoteBibliography"/>
        <w:spacing w:after="0"/>
        <w:rPr>
          <w:rFonts w:ascii="Poppins" w:hAnsi="Poppins" w:cs="Poppins"/>
          <w:sz w:val="16"/>
          <w:szCs w:val="18"/>
        </w:rPr>
      </w:pPr>
      <w:r w:rsidRPr="001B36EE">
        <w:rPr>
          <w:rFonts w:ascii="Poppins" w:hAnsi="Poppins" w:cs="Poppins"/>
          <w:sz w:val="16"/>
          <w:szCs w:val="18"/>
        </w:rPr>
        <w:t xml:space="preserve">RCPCH. National Paediatric Diabetes Audit (NPDA) Report on Care and Outcomes 2024/25. 2026. Available from: </w:t>
      </w:r>
      <w:hyperlink w:history="1" r:id="rId50">
        <w:r w:rsidRPr="001B36EE">
          <w:rPr>
            <w:rStyle w:val="Hyperlink"/>
            <w:rFonts w:ascii="Poppins" w:hAnsi="Poppins" w:cs="Poppins"/>
            <w:sz w:val="16"/>
            <w:szCs w:val="18"/>
          </w:rPr>
          <w:t>https://www.rcpch.ac.uk/sites/default/files/2026-03/npda_2024-25_report_on_care_and_outcomes.pdf</w:t>
        </w:r>
      </w:hyperlink>
      <w:r w:rsidRPr="001B36EE">
        <w:rPr>
          <w:rFonts w:ascii="Poppins" w:hAnsi="Poppins" w:cs="Poppins"/>
          <w:sz w:val="16"/>
          <w:szCs w:val="18"/>
        </w:rPr>
        <w:t>. [Accessed Ma</w:t>
      </w:r>
      <w:r w:rsidRPr="001B36EE" w:rsidR="00D54BCB">
        <w:rPr>
          <w:rFonts w:ascii="Poppins" w:hAnsi="Poppins" w:cs="Poppins"/>
          <w:sz w:val="16"/>
          <w:szCs w:val="18"/>
        </w:rPr>
        <w:t>y</w:t>
      </w:r>
      <w:r w:rsidRPr="001B36EE">
        <w:rPr>
          <w:rFonts w:ascii="Poppins" w:hAnsi="Poppins" w:cs="Poppins"/>
          <w:sz w:val="16"/>
          <w:szCs w:val="18"/>
        </w:rPr>
        <w:t xml:space="preserve"> 2026]</w:t>
      </w:r>
    </w:p>
    <w:p w:rsidRPr="001B36EE" w:rsidR="00211CB6" w:rsidP="001B36EE" w:rsidRDefault="00211CB6" w14:paraId="5190B8DB" w14:textId="77777777">
      <w:pPr>
        <w:pStyle w:val="EndNoteBibliography"/>
        <w:spacing w:after="0"/>
        <w:rPr>
          <w:rFonts w:ascii="Poppins" w:hAnsi="Poppins" w:cs="Poppins"/>
          <w:sz w:val="16"/>
          <w:szCs w:val="18"/>
        </w:rPr>
      </w:pPr>
      <w:r w:rsidRPr="001B36EE">
        <w:rPr>
          <w:rFonts w:ascii="Poppins" w:hAnsi="Poppins" w:cs="Poppins"/>
          <w:sz w:val="16"/>
          <w:szCs w:val="18"/>
        </w:rPr>
        <w:t xml:space="preserve">Robinson E. Being diagnosed with type 1 diabetes during adolescence. How do young people develop a healthy understanding of diabetes? </w:t>
      </w:r>
      <w:r w:rsidRPr="001B36EE">
        <w:rPr>
          <w:rFonts w:ascii="Poppins" w:hAnsi="Poppins" w:cs="Poppins"/>
          <w:i/>
          <w:sz w:val="16"/>
          <w:szCs w:val="18"/>
        </w:rPr>
        <w:t>Practical Diabetes</w:t>
      </w:r>
      <w:r w:rsidRPr="001B36EE">
        <w:rPr>
          <w:rFonts w:ascii="Poppins" w:hAnsi="Poppins" w:cs="Poppins"/>
          <w:sz w:val="16"/>
          <w:szCs w:val="18"/>
        </w:rPr>
        <w:t xml:space="preserve"> 2015;</w:t>
      </w:r>
      <w:r w:rsidRPr="001B36EE">
        <w:rPr>
          <w:rFonts w:ascii="Poppins" w:hAnsi="Poppins" w:cs="Poppins"/>
          <w:b/>
          <w:sz w:val="16"/>
          <w:szCs w:val="18"/>
        </w:rPr>
        <w:t>32</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339-344a</w:t>
      </w:r>
    </w:p>
    <w:p w:rsidRPr="001B36EE" w:rsidR="00211CB6" w:rsidP="001B36EE" w:rsidRDefault="00211CB6" w14:paraId="6AD305A4" w14:textId="77777777">
      <w:pPr>
        <w:pStyle w:val="EndNoteBibliography"/>
        <w:spacing w:after="0"/>
        <w:rPr>
          <w:rFonts w:ascii="Poppins" w:hAnsi="Poppins" w:cs="Poppins"/>
          <w:sz w:val="16"/>
          <w:szCs w:val="18"/>
        </w:rPr>
      </w:pPr>
      <w:r w:rsidRPr="001B36EE">
        <w:rPr>
          <w:rFonts w:ascii="Poppins" w:hAnsi="Poppins" w:cs="Poppins"/>
          <w:sz w:val="16"/>
          <w:szCs w:val="18"/>
        </w:rPr>
        <w:t>Sims EK</w:t>
      </w:r>
      <w:r w:rsidRPr="001B36EE">
        <w:rPr>
          <w:rFonts w:ascii="Poppins" w:hAnsi="Poppins" w:cs="Poppins"/>
          <w:i/>
          <w:sz w:val="16"/>
          <w:szCs w:val="18"/>
        </w:rPr>
        <w:t>, et al.</w:t>
      </w:r>
      <w:r w:rsidRPr="001B36EE">
        <w:rPr>
          <w:rFonts w:ascii="Poppins" w:hAnsi="Poppins" w:cs="Poppins"/>
          <w:sz w:val="16"/>
          <w:szCs w:val="18"/>
        </w:rPr>
        <w:t xml:space="preserve"> Screening for type 1 diabetes in the general population: a status report and perspective. </w:t>
      </w:r>
      <w:r w:rsidRPr="001B36EE">
        <w:rPr>
          <w:rFonts w:ascii="Poppins" w:hAnsi="Poppins" w:cs="Poppins"/>
          <w:i/>
          <w:sz w:val="16"/>
          <w:szCs w:val="18"/>
        </w:rPr>
        <w:t>Diabetes</w:t>
      </w:r>
      <w:r w:rsidRPr="001B36EE">
        <w:rPr>
          <w:rFonts w:ascii="Poppins" w:hAnsi="Poppins" w:cs="Poppins"/>
          <w:sz w:val="16"/>
          <w:szCs w:val="18"/>
        </w:rPr>
        <w:t xml:space="preserve"> 2022;</w:t>
      </w:r>
      <w:r w:rsidRPr="001B36EE">
        <w:rPr>
          <w:rFonts w:ascii="Poppins" w:hAnsi="Poppins" w:cs="Poppins"/>
          <w:b/>
          <w:sz w:val="16"/>
          <w:szCs w:val="18"/>
        </w:rPr>
        <w:t>71</w:t>
      </w:r>
      <w:r w:rsidRPr="001B36EE">
        <w:rPr>
          <w:rFonts w:ascii="Poppins" w:hAnsi="Poppins" w:cs="Poppins"/>
          <w:sz w:val="16"/>
          <w:szCs w:val="18"/>
        </w:rPr>
        <w:t>(4)</w:t>
      </w:r>
      <w:r w:rsidRPr="001B36EE">
        <w:rPr>
          <w:rFonts w:ascii="Poppins" w:hAnsi="Poppins" w:cs="Poppins"/>
          <w:b/>
          <w:sz w:val="16"/>
          <w:szCs w:val="18"/>
        </w:rPr>
        <w:t>:</w:t>
      </w:r>
      <w:r w:rsidRPr="001B36EE">
        <w:rPr>
          <w:rFonts w:ascii="Poppins" w:hAnsi="Poppins" w:cs="Poppins"/>
          <w:sz w:val="16"/>
          <w:szCs w:val="18"/>
        </w:rPr>
        <w:t>610-623</w:t>
      </w:r>
    </w:p>
    <w:p w:rsidRPr="001B36EE" w:rsidR="00211CB6" w:rsidP="001B36EE" w:rsidRDefault="00211CB6" w14:paraId="3DAEF004" w14:textId="77777777">
      <w:pPr>
        <w:pStyle w:val="EndNoteBibliography"/>
        <w:spacing w:after="0"/>
        <w:rPr>
          <w:rFonts w:ascii="Poppins" w:hAnsi="Poppins" w:cs="Poppins"/>
          <w:sz w:val="16"/>
          <w:szCs w:val="18"/>
        </w:rPr>
      </w:pPr>
      <w:r w:rsidRPr="001B36EE">
        <w:rPr>
          <w:rFonts w:ascii="Poppins" w:hAnsi="Poppins" w:cs="Poppins"/>
          <w:sz w:val="16"/>
          <w:szCs w:val="18"/>
        </w:rPr>
        <w:t>Sosenko JM</w:t>
      </w:r>
      <w:r w:rsidRPr="001B36EE">
        <w:rPr>
          <w:rFonts w:ascii="Poppins" w:hAnsi="Poppins" w:cs="Poppins"/>
          <w:i/>
          <w:sz w:val="16"/>
          <w:szCs w:val="18"/>
        </w:rPr>
        <w:t>, et al.</w:t>
      </w:r>
      <w:r w:rsidRPr="001B36EE">
        <w:rPr>
          <w:rFonts w:ascii="Poppins" w:hAnsi="Poppins" w:cs="Poppins"/>
          <w:sz w:val="16"/>
          <w:szCs w:val="18"/>
        </w:rPr>
        <w:t xml:space="preserve"> Incident dysglycemia and progression to type 1 diabetes among participants in the Diabetes Prevention Trial-Type 1. </w:t>
      </w:r>
      <w:r w:rsidRPr="001B36EE">
        <w:rPr>
          <w:rFonts w:ascii="Poppins" w:hAnsi="Poppins" w:cs="Poppins"/>
          <w:i/>
          <w:sz w:val="16"/>
          <w:szCs w:val="18"/>
        </w:rPr>
        <w:t>Diabetes Care</w:t>
      </w:r>
      <w:r w:rsidRPr="001B36EE">
        <w:rPr>
          <w:rFonts w:ascii="Poppins" w:hAnsi="Poppins" w:cs="Poppins"/>
          <w:sz w:val="16"/>
          <w:szCs w:val="18"/>
        </w:rPr>
        <w:t xml:space="preserve"> 2009;</w:t>
      </w:r>
      <w:r w:rsidRPr="001B36EE">
        <w:rPr>
          <w:rFonts w:ascii="Poppins" w:hAnsi="Poppins" w:cs="Poppins"/>
          <w:b/>
          <w:sz w:val="16"/>
          <w:szCs w:val="18"/>
        </w:rPr>
        <w:t>32</w:t>
      </w:r>
      <w:r w:rsidRPr="001B36EE">
        <w:rPr>
          <w:rFonts w:ascii="Poppins" w:hAnsi="Poppins" w:cs="Poppins"/>
          <w:sz w:val="16"/>
          <w:szCs w:val="18"/>
        </w:rPr>
        <w:t>(9)</w:t>
      </w:r>
      <w:r w:rsidRPr="001B36EE">
        <w:rPr>
          <w:rFonts w:ascii="Poppins" w:hAnsi="Poppins" w:cs="Poppins"/>
          <w:b/>
          <w:sz w:val="16"/>
          <w:szCs w:val="18"/>
        </w:rPr>
        <w:t>:</w:t>
      </w:r>
      <w:r w:rsidRPr="001B36EE">
        <w:rPr>
          <w:rFonts w:ascii="Poppins" w:hAnsi="Poppins" w:cs="Poppins"/>
          <w:sz w:val="16"/>
          <w:szCs w:val="18"/>
        </w:rPr>
        <w:t>1603-1607</w:t>
      </w:r>
    </w:p>
    <w:p w:rsidRPr="001B36EE" w:rsidR="00211CB6" w:rsidP="001B36EE" w:rsidRDefault="00211CB6" w14:paraId="509713EA" w14:textId="73398761">
      <w:pPr>
        <w:pStyle w:val="EndNoteBibliography"/>
        <w:spacing w:after="0"/>
        <w:rPr>
          <w:rFonts w:ascii="Poppins" w:hAnsi="Poppins" w:cs="Poppins"/>
          <w:sz w:val="16"/>
          <w:szCs w:val="18"/>
        </w:rPr>
      </w:pPr>
      <w:r w:rsidRPr="001B36EE">
        <w:rPr>
          <w:rFonts w:ascii="Poppins" w:hAnsi="Poppins" w:cs="Poppins"/>
          <w:sz w:val="16"/>
          <w:szCs w:val="18"/>
        </w:rPr>
        <w:t xml:space="preserve">The King's Fund. Tackling health inequalities: seven priorities for the NHS. 2024. Available from: </w:t>
      </w:r>
      <w:hyperlink w:history="1" r:id="rId51">
        <w:r w:rsidRPr="001B36EE">
          <w:rPr>
            <w:rStyle w:val="Hyperlink"/>
            <w:rFonts w:ascii="Poppins" w:hAnsi="Poppins" w:cs="Poppins"/>
            <w:sz w:val="16"/>
            <w:szCs w:val="18"/>
          </w:rPr>
          <w:t>https://www.kingsfund.org.uk/insight-and-analysis/long-reads/tackling-health-inequalities-seven-priorities-nhs</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444449DE" w14:textId="77777777">
      <w:pPr>
        <w:pStyle w:val="EndNoteBibliography"/>
        <w:spacing w:after="0"/>
        <w:rPr>
          <w:rFonts w:ascii="Poppins" w:hAnsi="Poppins" w:cs="Poppins"/>
          <w:sz w:val="16"/>
          <w:szCs w:val="18"/>
        </w:rPr>
      </w:pPr>
      <w:r w:rsidRPr="001B36EE">
        <w:rPr>
          <w:rFonts w:ascii="Poppins" w:hAnsi="Poppins" w:cs="Poppins"/>
          <w:sz w:val="16"/>
          <w:szCs w:val="18"/>
        </w:rPr>
        <w:t>Thomas NJ</w:t>
      </w:r>
      <w:r w:rsidRPr="001B36EE">
        <w:rPr>
          <w:rFonts w:ascii="Poppins" w:hAnsi="Poppins" w:cs="Poppins"/>
          <w:i/>
          <w:sz w:val="16"/>
          <w:szCs w:val="18"/>
        </w:rPr>
        <w:t>, et al.</w:t>
      </w:r>
      <w:r w:rsidRPr="001B36EE">
        <w:rPr>
          <w:rFonts w:ascii="Poppins" w:hAnsi="Poppins" w:cs="Poppins"/>
          <w:sz w:val="16"/>
          <w:szCs w:val="18"/>
        </w:rPr>
        <w:t xml:space="preserve"> Frequency and phenotype of type 1 diabetes in the first six decades of life: a cross-sectional, genetically stratified survival analysis from UK Biobank. </w:t>
      </w:r>
      <w:r w:rsidRPr="001B36EE">
        <w:rPr>
          <w:rFonts w:ascii="Poppins" w:hAnsi="Poppins" w:cs="Poppins"/>
          <w:i/>
          <w:sz w:val="16"/>
          <w:szCs w:val="18"/>
        </w:rPr>
        <w:t>The Lancet Diabetes &amp; Endocrinology</w:t>
      </w:r>
      <w:r w:rsidRPr="001B36EE">
        <w:rPr>
          <w:rFonts w:ascii="Poppins" w:hAnsi="Poppins" w:cs="Poppins"/>
          <w:sz w:val="16"/>
          <w:szCs w:val="18"/>
        </w:rPr>
        <w:t xml:space="preserve"> 2018;</w:t>
      </w:r>
      <w:r w:rsidRPr="001B36EE">
        <w:rPr>
          <w:rFonts w:ascii="Poppins" w:hAnsi="Poppins" w:cs="Poppins"/>
          <w:b/>
          <w:sz w:val="16"/>
          <w:szCs w:val="18"/>
        </w:rPr>
        <w:t>6</w:t>
      </w:r>
      <w:r w:rsidRPr="001B36EE">
        <w:rPr>
          <w:rFonts w:ascii="Poppins" w:hAnsi="Poppins" w:cs="Poppins"/>
          <w:sz w:val="16"/>
          <w:szCs w:val="18"/>
        </w:rPr>
        <w:t>(2)</w:t>
      </w:r>
      <w:r w:rsidRPr="001B36EE">
        <w:rPr>
          <w:rFonts w:ascii="Poppins" w:hAnsi="Poppins" w:cs="Poppins"/>
          <w:b/>
          <w:sz w:val="16"/>
          <w:szCs w:val="18"/>
        </w:rPr>
        <w:t>:</w:t>
      </w:r>
      <w:r w:rsidRPr="001B36EE">
        <w:rPr>
          <w:rFonts w:ascii="Poppins" w:hAnsi="Poppins" w:cs="Poppins"/>
          <w:sz w:val="16"/>
          <w:szCs w:val="18"/>
        </w:rPr>
        <w:t>122-129</w:t>
      </w:r>
    </w:p>
    <w:p w:rsidRPr="001B36EE" w:rsidR="00211CB6" w:rsidP="001B36EE" w:rsidRDefault="00211CB6" w14:paraId="4F46B387" w14:textId="77777777">
      <w:pPr>
        <w:pStyle w:val="EndNoteBibliography"/>
        <w:spacing w:after="0"/>
        <w:rPr>
          <w:rFonts w:ascii="Poppins" w:hAnsi="Poppins" w:cs="Poppins"/>
          <w:sz w:val="16"/>
          <w:szCs w:val="18"/>
        </w:rPr>
      </w:pPr>
      <w:r w:rsidRPr="001B36EE">
        <w:rPr>
          <w:rFonts w:ascii="Poppins" w:hAnsi="Poppins" w:cs="Poppins"/>
          <w:sz w:val="16"/>
          <w:szCs w:val="18"/>
        </w:rPr>
        <w:t>TZIELD</w:t>
      </w:r>
      <w:r w:rsidRPr="001B36EE">
        <w:rPr>
          <w:rFonts w:ascii="Poppins" w:hAnsi="Poppins" w:cs="Poppins"/>
          <w:sz w:val="16"/>
          <w:szCs w:val="18"/>
          <w:vertAlign w:val="superscript"/>
        </w:rPr>
        <w:t xml:space="preserve">® </w:t>
      </w:r>
      <w:r w:rsidRPr="001B36EE">
        <w:rPr>
          <w:rFonts w:ascii="Poppins" w:hAnsi="Poppins" w:cs="Poppins"/>
          <w:sz w:val="16"/>
          <w:szCs w:val="18"/>
        </w:rPr>
        <w:t>SmPC. UK Summary of Product Characteristics</w:t>
      </w:r>
    </w:p>
    <w:p w:rsidRPr="001B36EE" w:rsidR="00211CB6" w:rsidP="001B36EE" w:rsidRDefault="00211CB6" w14:paraId="6C9EC1FA" w14:textId="217B1F28">
      <w:pPr>
        <w:pStyle w:val="EndNoteBibliography"/>
        <w:spacing w:after="0"/>
        <w:rPr>
          <w:rFonts w:ascii="Poppins" w:hAnsi="Poppins" w:cs="Poppins"/>
          <w:sz w:val="16"/>
          <w:szCs w:val="18"/>
        </w:rPr>
      </w:pPr>
      <w:r w:rsidRPr="001B36EE">
        <w:rPr>
          <w:rFonts w:ascii="Poppins" w:hAnsi="Poppins" w:cs="Poppins"/>
          <w:sz w:val="16"/>
          <w:szCs w:val="18"/>
        </w:rPr>
        <w:t xml:space="preserve">UK Government. Fit for the future: 10 year Health Plan for England. 2025. Available from: </w:t>
      </w:r>
      <w:hyperlink w:history="1" r:id="rId52">
        <w:r w:rsidRPr="001B36EE">
          <w:rPr>
            <w:rStyle w:val="Hyperlink"/>
            <w:rFonts w:ascii="Poppins" w:hAnsi="Poppins" w:cs="Poppins"/>
            <w:sz w:val="16"/>
            <w:szCs w:val="18"/>
          </w:rPr>
          <w:t>https://assets.publishing.service.gov.uk/media/6866387fe6557c544c74db7a/fit-for-the-future-10-year-health-plan-for-england.pdf</w:t>
        </w:r>
      </w:hyperlink>
      <w:r w:rsidRPr="001B36EE">
        <w:rPr>
          <w:rFonts w:ascii="Poppins" w:hAnsi="Poppins" w:cs="Poppins"/>
          <w:sz w:val="16"/>
          <w:szCs w:val="18"/>
        </w:rPr>
        <w:t xml:space="preserve">. [Accessed </w:t>
      </w:r>
      <w:r w:rsidRPr="001B36EE" w:rsidR="00D54BCB">
        <w:rPr>
          <w:rFonts w:ascii="Poppins" w:hAnsi="Poppins" w:cs="Poppins"/>
          <w:sz w:val="16"/>
          <w:szCs w:val="18"/>
        </w:rPr>
        <w:t>May</w:t>
      </w:r>
      <w:r w:rsidRPr="001B36EE">
        <w:rPr>
          <w:rFonts w:ascii="Poppins" w:hAnsi="Poppins" w:cs="Poppins"/>
          <w:sz w:val="16"/>
          <w:szCs w:val="18"/>
        </w:rPr>
        <w:t xml:space="preserve"> 202</w:t>
      </w:r>
      <w:r w:rsidRPr="001B36EE" w:rsidR="00D54BCB">
        <w:rPr>
          <w:rFonts w:ascii="Poppins" w:hAnsi="Poppins" w:cs="Poppins"/>
          <w:sz w:val="16"/>
          <w:szCs w:val="18"/>
        </w:rPr>
        <w:t>6</w:t>
      </w:r>
      <w:r w:rsidRPr="001B36EE">
        <w:rPr>
          <w:rFonts w:ascii="Poppins" w:hAnsi="Poppins" w:cs="Poppins"/>
          <w:sz w:val="16"/>
          <w:szCs w:val="18"/>
        </w:rPr>
        <w:t>]</w:t>
      </w:r>
    </w:p>
    <w:p w:rsidRPr="001B36EE" w:rsidR="00211CB6" w:rsidP="001B36EE" w:rsidRDefault="00211CB6" w14:paraId="758BA35F" w14:textId="77777777">
      <w:pPr>
        <w:pStyle w:val="EndNoteBibliography"/>
        <w:spacing w:after="0"/>
        <w:rPr>
          <w:rFonts w:ascii="Poppins" w:hAnsi="Poppins" w:cs="Poppins"/>
          <w:sz w:val="16"/>
          <w:szCs w:val="18"/>
        </w:rPr>
      </w:pPr>
      <w:r w:rsidRPr="001B36EE">
        <w:rPr>
          <w:rFonts w:ascii="Poppins" w:hAnsi="Poppins" w:cs="Poppins"/>
          <w:sz w:val="16"/>
          <w:szCs w:val="18"/>
        </w:rPr>
        <w:t>Veijola R</w:t>
      </w:r>
      <w:r w:rsidRPr="001B36EE">
        <w:rPr>
          <w:rFonts w:ascii="Poppins" w:hAnsi="Poppins" w:cs="Poppins"/>
          <w:i/>
          <w:sz w:val="16"/>
          <w:szCs w:val="18"/>
        </w:rPr>
        <w:t>, et al.</w:t>
      </w:r>
      <w:r w:rsidRPr="001B36EE">
        <w:rPr>
          <w:rFonts w:ascii="Poppins" w:hAnsi="Poppins" w:cs="Poppins"/>
          <w:sz w:val="16"/>
          <w:szCs w:val="18"/>
        </w:rPr>
        <w:t xml:space="preserve"> Dysregulation of glucose metabolism in preclinical type 1 diabetes. </w:t>
      </w:r>
      <w:r w:rsidRPr="001B36EE">
        <w:rPr>
          <w:rFonts w:ascii="Poppins" w:hAnsi="Poppins" w:cs="Poppins"/>
          <w:i/>
          <w:sz w:val="16"/>
          <w:szCs w:val="18"/>
        </w:rPr>
        <w:t>Pediatr Diabetes</w:t>
      </w:r>
      <w:r w:rsidRPr="001B36EE">
        <w:rPr>
          <w:rFonts w:ascii="Poppins" w:hAnsi="Poppins" w:cs="Poppins"/>
          <w:sz w:val="16"/>
          <w:szCs w:val="18"/>
        </w:rPr>
        <w:t xml:space="preserve"> 2016;</w:t>
      </w:r>
      <w:r w:rsidRPr="001B36EE">
        <w:rPr>
          <w:rFonts w:ascii="Poppins" w:hAnsi="Poppins" w:cs="Poppins"/>
          <w:b/>
          <w:sz w:val="16"/>
          <w:szCs w:val="18"/>
        </w:rPr>
        <w:t>17 Suppl 22:</w:t>
      </w:r>
      <w:r w:rsidRPr="001B36EE">
        <w:rPr>
          <w:rFonts w:ascii="Poppins" w:hAnsi="Poppins" w:cs="Poppins"/>
          <w:sz w:val="16"/>
          <w:szCs w:val="18"/>
        </w:rPr>
        <w:t>25-30</w:t>
      </w:r>
    </w:p>
    <w:p w:rsidRPr="001B36EE" w:rsidR="00211CB6" w:rsidP="001B36EE" w:rsidRDefault="00211CB6" w14:paraId="75ADFDB5" w14:textId="77777777">
      <w:pPr>
        <w:pStyle w:val="EndNoteBibliography"/>
        <w:rPr>
          <w:rFonts w:ascii="Poppins" w:hAnsi="Poppins" w:cs="Poppins"/>
          <w:sz w:val="16"/>
          <w:szCs w:val="18"/>
        </w:rPr>
      </w:pPr>
      <w:r w:rsidRPr="001B36EE">
        <w:rPr>
          <w:rFonts w:ascii="Poppins" w:hAnsi="Poppins" w:cs="Poppins"/>
          <w:sz w:val="16"/>
          <w:szCs w:val="18"/>
        </w:rPr>
        <w:t>Ziegler AG</w:t>
      </w:r>
      <w:r w:rsidRPr="001B36EE">
        <w:rPr>
          <w:rFonts w:ascii="Poppins" w:hAnsi="Poppins" w:cs="Poppins"/>
          <w:i/>
          <w:sz w:val="16"/>
          <w:szCs w:val="18"/>
        </w:rPr>
        <w:t>, et al.</w:t>
      </w:r>
      <w:r w:rsidRPr="001B36EE">
        <w:rPr>
          <w:rFonts w:ascii="Poppins" w:hAnsi="Poppins" w:cs="Poppins"/>
          <w:sz w:val="16"/>
          <w:szCs w:val="18"/>
        </w:rPr>
        <w:t xml:space="preserve"> Yield of a Public Health Screening of Children for Islet Autoantibodies in Bavaria, Germany. </w:t>
      </w:r>
      <w:r w:rsidRPr="001B36EE">
        <w:rPr>
          <w:rFonts w:ascii="Poppins" w:hAnsi="Poppins" w:cs="Poppins"/>
          <w:i/>
          <w:sz w:val="16"/>
          <w:szCs w:val="18"/>
        </w:rPr>
        <w:t>Jama</w:t>
      </w:r>
      <w:r w:rsidRPr="001B36EE">
        <w:rPr>
          <w:rFonts w:ascii="Poppins" w:hAnsi="Poppins" w:cs="Poppins"/>
          <w:sz w:val="16"/>
          <w:szCs w:val="18"/>
        </w:rPr>
        <w:t xml:space="preserve"> 2020;</w:t>
      </w:r>
      <w:r w:rsidRPr="001B36EE">
        <w:rPr>
          <w:rFonts w:ascii="Poppins" w:hAnsi="Poppins" w:cs="Poppins"/>
          <w:b/>
          <w:sz w:val="16"/>
          <w:szCs w:val="18"/>
        </w:rPr>
        <w:t>323</w:t>
      </w:r>
      <w:r w:rsidRPr="001B36EE">
        <w:rPr>
          <w:rFonts w:ascii="Poppins" w:hAnsi="Poppins" w:cs="Poppins"/>
          <w:sz w:val="16"/>
          <w:szCs w:val="18"/>
        </w:rPr>
        <w:t>(4)</w:t>
      </w:r>
      <w:r w:rsidRPr="001B36EE">
        <w:rPr>
          <w:rFonts w:ascii="Poppins" w:hAnsi="Poppins" w:cs="Poppins"/>
          <w:b/>
          <w:sz w:val="16"/>
          <w:szCs w:val="18"/>
        </w:rPr>
        <w:t>:</w:t>
      </w:r>
      <w:r w:rsidRPr="001B36EE">
        <w:rPr>
          <w:rFonts w:ascii="Poppins" w:hAnsi="Poppins" w:cs="Poppins"/>
          <w:sz w:val="16"/>
          <w:szCs w:val="18"/>
        </w:rPr>
        <w:t>339-351</w:t>
      </w:r>
    </w:p>
    <w:p w:rsidR="00FF52E1" w:rsidP="001B36EE" w:rsidRDefault="0091047D" w14:paraId="33AFEE0B" w14:textId="7AE9C816">
      <w:pPr>
        <w:pStyle w:val="EndNoteBibliography"/>
        <w:rPr>
          <w:rFonts w:ascii="Arial" w:hAnsi="Arial" w:cs="Arial"/>
          <w:szCs w:val="18"/>
        </w:rPr>
        <w:sectPr w:rsidR="00FF52E1" w:rsidSect="001B36EE">
          <w:type w:val="continuous"/>
          <w:pgSz w:w="12240" w:h="15840" w:orient="portrait"/>
          <w:pgMar w:top="1276" w:right="1800" w:bottom="1276" w:left="1800" w:header="720" w:footer="720" w:gutter="0"/>
          <w:cols w:space="720"/>
          <w:docGrid w:linePitch="360"/>
        </w:sectPr>
      </w:pPr>
      <w:r w:rsidRPr="001B36EE">
        <w:rPr>
          <w:rFonts w:ascii="Poppins" w:hAnsi="Poppins" w:cs="Poppins"/>
          <w:sz w:val="12"/>
          <w:szCs w:val="12"/>
        </w:rPr>
        <w:fldChar w:fldCharType="end"/>
      </w:r>
    </w:p>
    <w:p w:rsidR="004E3E81" w:rsidP="001B36EE" w:rsidRDefault="004E3E81" w14:paraId="6602ED76" w14:textId="77777777">
      <w:pPr>
        <w:spacing w:line="240" w:lineRule="auto"/>
        <w:rPr>
          <w:rFonts w:ascii="Poppins" w:hAnsi="Poppins" w:cs="Poppins"/>
          <w:b/>
          <w:bCs/>
          <w:noProof/>
          <w:sz w:val="20"/>
          <w:szCs w:val="18"/>
          <w:lang w:val="en-GB"/>
        </w:rPr>
      </w:pPr>
      <w:r>
        <w:rPr>
          <w:rFonts w:ascii="Poppins" w:hAnsi="Poppins" w:cs="Poppins"/>
          <w:b/>
          <w:bCs/>
          <w:szCs w:val="18"/>
          <w:lang w:val="en-GB"/>
        </w:rPr>
        <w:br w:type="page"/>
      </w:r>
    </w:p>
    <w:p w:rsidRPr="00E412FF" w:rsidR="004E3E81" w:rsidP="00E412FF" w:rsidRDefault="004E3E81" w14:paraId="643E22F8" w14:textId="77777777">
      <w:pPr>
        <w:pStyle w:val="Heading1"/>
        <w:spacing w:before="0" w:after="120" w:line="240" w:lineRule="auto"/>
        <w:rPr>
          <w:rFonts w:ascii="Poppins" w:hAnsi="Poppins" w:cs="Poppins"/>
          <w:color w:val="0023C8"/>
        </w:rPr>
      </w:pPr>
      <w:bookmarkStart w:name="_PRESCRIBING_INFORMATION" w:id="44"/>
      <w:bookmarkStart w:name="_Toc229391557" w:id="45"/>
      <w:bookmarkEnd w:id="44"/>
      <w:r w:rsidRPr="00E412FF">
        <w:rPr>
          <w:rFonts w:ascii="Poppins" w:hAnsi="Poppins" w:cs="Poppins"/>
          <w:color w:val="0023C8"/>
        </w:rPr>
        <w:t>PRESCRIBING INFORMATION</w:t>
      </w:r>
      <w:bookmarkEnd w:id="45"/>
    </w:p>
    <w:p w:rsidRPr="001B36EE" w:rsidR="00850964" w:rsidP="001B36EE" w:rsidRDefault="00850964" w14:paraId="0E79F539" w14:textId="77777777">
      <w:pPr>
        <w:pStyle w:val="EndNoteBibliography"/>
        <w:spacing w:after="0"/>
        <w:jc w:val="center"/>
        <w:rPr>
          <w:rFonts w:ascii="Poppins" w:hAnsi="Poppins" w:cs="Poppins"/>
          <w:b/>
          <w:bCs/>
          <w:color w:val="262626" w:themeColor="text1" w:themeTint="D9"/>
          <w:sz w:val="18"/>
          <w:szCs w:val="18"/>
          <w:lang w:val="en-GB"/>
        </w:rPr>
      </w:pPr>
      <w:r w:rsidRPr="001B36EE">
        <w:rPr>
          <w:rFonts w:ascii="Poppins" w:hAnsi="Poppins" w:cs="Poppins"/>
          <w:b/>
          <w:bCs/>
          <w:color w:val="262626" w:themeColor="text1" w:themeTint="D9"/>
          <w:sz w:val="18"/>
          <w:szCs w:val="18"/>
          <w:lang w:val="en-GB"/>
        </w:rPr>
        <w:t>Prescribing Information: Tzield (Teplizumab) 2 mg/2 mL concentrate for solution for infusion</w:t>
      </w:r>
    </w:p>
    <w:p w:rsidRPr="001B36EE" w:rsidR="00E76C90" w:rsidP="001B36EE" w:rsidRDefault="00850964" w14:paraId="59ED73BF" w14:textId="77777777">
      <w:pPr>
        <w:pStyle w:val="EndNoteBibliography"/>
        <w:spacing w:after="0"/>
        <w:jc w:val="center"/>
        <w:rPr>
          <w:rFonts w:ascii="Poppins" w:hAnsi="Poppins" w:cs="Poppins"/>
          <w:b/>
          <w:bCs/>
          <w:color w:val="262626" w:themeColor="text1" w:themeTint="D9"/>
          <w:sz w:val="18"/>
          <w:szCs w:val="18"/>
          <w:lang w:val="en-GB"/>
        </w:rPr>
      </w:pPr>
      <w:r w:rsidRPr="001B36EE">
        <w:rPr>
          <w:rFonts w:ascii="Poppins" w:hAnsi="Poppins" w:cs="Poppins"/>
          <w:b/>
          <w:bCs/>
          <w:color w:val="262626" w:themeColor="text1" w:themeTint="D9"/>
          <w:sz w:val="18"/>
          <w:szCs w:val="18"/>
          <w:lang w:val="en-GB"/>
        </w:rPr>
        <w:t>Please refer to the Summary of Product Characteristics (SmPC) before prescribing.</w:t>
      </w:r>
    </w:p>
    <w:p w:rsidR="00654693" w:rsidP="001B36EE" w:rsidRDefault="00654693" w14:paraId="5B6F34D5" w14:textId="77777777">
      <w:pPr>
        <w:pStyle w:val="EndNoteBibliography"/>
        <w:spacing w:after="0"/>
        <w:jc w:val="center"/>
        <w:rPr>
          <w:rFonts w:ascii="Poppins" w:hAnsi="Poppins" w:cs="Poppins"/>
          <w:b/>
          <w:bCs/>
          <w:color w:val="0023C8"/>
          <w:sz w:val="18"/>
          <w:szCs w:val="18"/>
          <w:lang w:val="en-GB"/>
        </w:rPr>
      </w:pPr>
    </w:p>
    <w:p w:rsidRPr="00850964" w:rsidR="00654693" w:rsidP="001B36EE" w:rsidRDefault="00654693" w14:paraId="1F61C6F9" w14:textId="77C134FD">
      <w:pPr>
        <w:pStyle w:val="EndNoteBibliography"/>
        <w:spacing w:after="0"/>
        <w:jc w:val="center"/>
        <w:rPr>
          <w:rFonts w:ascii="Poppins" w:hAnsi="Poppins" w:cs="Poppins"/>
          <w:b/>
          <w:bCs/>
          <w:color w:val="0023C8"/>
          <w:sz w:val="18"/>
          <w:szCs w:val="18"/>
          <w:lang w:val="en-GB"/>
        </w:rPr>
        <w:sectPr w:rsidRPr="00850964" w:rsidR="00654693" w:rsidSect="001B36EE">
          <w:footerReference w:type="default" r:id="rId53"/>
          <w:type w:val="continuous"/>
          <w:pgSz w:w="12240" w:h="15840" w:orient="portrait"/>
          <w:pgMar w:top="1276" w:right="1800" w:bottom="1276" w:left="1800" w:header="720" w:footer="720" w:gutter="0"/>
          <w:cols w:space="720"/>
          <w:titlePg/>
          <w:docGrid w:linePitch="360"/>
        </w:sectPr>
      </w:pPr>
    </w:p>
    <w:p w:rsidRPr="001B36EE" w:rsidR="00A65C5A" w:rsidP="001B36EE" w:rsidRDefault="004E3E81" w14:paraId="48A40823" w14:textId="77777777">
      <w:pPr>
        <w:pStyle w:val="EndNoteBibliography"/>
        <w:spacing w:after="0"/>
        <w:rPr>
          <w:rFonts w:ascii="Poppins" w:hAnsi="Poppins" w:cs="Poppins"/>
          <w:sz w:val="14"/>
          <w:szCs w:val="14"/>
          <w:lang w:val="en-GB"/>
        </w:rPr>
      </w:pPr>
      <w:r w:rsidRPr="001B36EE">
        <w:rPr>
          <w:rFonts w:ascii="Poppins" w:hAnsi="Poppins" w:cs="Poppins"/>
          <w:b/>
          <w:bCs/>
          <w:sz w:val="14"/>
          <w:szCs w:val="14"/>
          <w:lang w:val="en-GB"/>
        </w:rPr>
        <w:t>P</w:t>
      </w:r>
      <w:r w:rsidRPr="001B36EE" w:rsidR="00F63108">
        <w:rPr>
          <w:rFonts w:ascii="Poppins" w:hAnsi="Poppins" w:cs="Poppins"/>
          <w:b/>
          <w:bCs/>
          <w:sz w:val="14"/>
          <w:szCs w:val="14"/>
          <w:lang w:val="en-GB"/>
        </w:rPr>
        <w:t xml:space="preserve">resentation: </w:t>
      </w:r>
      <w:r w:rsidRPr="001B36EE" w:rsidR="00F63108">
        <w:rPr>
          <w:rFonts w:ascii="Poppins" w:hAnsi="Poppins" w:cs="Poppins"/>
          <w:sz w:val="14"/>
          <w:szCs w:val="14"/>
          <w:lang w:val="en-GB"/>
        </w:rPr>
        <w:t xml:space="preserve">Each vial contains 2 mg of teplizumab in 2 mL of concentrate (2 mg/2 mL). Teplizumab is a CD3-directed monoclonal antibody (humanised IgG1 kappa) expressed from a recombinant Chinese hamster ovary (CHO) cell line. </w:t>
      </w:r>
    </w:p>
    <w:p w:rsidRPr="001B36EE" w:rsidR="00F63108" w:rsidP="001B36EE" w:rsidRDefault="00F63108" w14:paraId="6F473285" w14:textId="5EC863A8">
      <w:pPr>
        <w:pStyle w:val="EndNoteBibliography"/>
        <w:spacing w:after="0"/>
        <w:rPr>
          <w:rFonts w:ascii="Poppins" w:hAnsi="Poppins" w:cs="Poppins"/>
          <w:sz w:val="14"/>
          <w:szCs w:val="14"/>
          <w:lang w:val="en-GB"/>
        </w:rPr>
      </w:pPr>
      <w:r w:rsidRPr="001B36EE">
        <w:rPr>
          <w:rFonts w:ascii="Poppins" w:hAnsi="Poppins" w:cs="Poppins"/>
          <w:b/>
          <w:bCs/>
          <w:sz w:val="14"/>
          <w:szCs w:val="14"/>
          <w:lang w:val="en-GB"/>
        </w:rPr>
        <w:t xml:space="preserve">Indication: </w:t>
      </w:r>
      <w:r w:rsidRPr="001B36EE">
        <w:rPr>
          <w:rFonts w:ascii="Poppins" w:hAnsi="Poppins" w:cs="Poppins"/>
          <w:sz w:val="14"/>
          <w:szCs w:val="14"/>
          <w:lang w:val="en-GB"/>
        </w:rPr>
        <w:t xml:space="preserve">Tzield is indicated to delay the onset of Stage 3 type 1 diabetes in adult and paediatric patients 8 years of age and older with Stage 2 type 1 diabetes (T1D). </w:t>
      </w:r>
    </w:p>
    <w:p w:rsidRPr="001B36EE" w:rsidR="00F63108" w:rsidP="001B36EE" w:rsidRDefault="00F63108" w14:paraId="196A03D7"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Patient Selection</w:t>
      </w:r>
      <w:r w:rsidRPr="001B36EE">
        <w:rPr>
          <w:rFonts w:ascii="Poppins" w:hAnsi="Poppins" w:cs="Poppins"/>
          <w:i/>
          <w:iCs/>
          <w:sz w:val="14"/>
          <w:szCs w:val="14"/>
          <w:lang w:val="en-GB"/>
        </w:rPr>
        <w:t xml:space="preserve">: </w:t>
      </w:r>
      <w:r w:rsidRPr="001B36EE">
        <w:rPr>
          <w:rFonts w:ascii="Poppins" w:hAnsi="Poppins" w:cs="Poppins"/>
          <w:sz w:val="14"/>
          <w:szCs w:val="14"/>
          <w:lang w:val="en-GB"/>
        </w:rPr>
        <w:t xml:space="preserve">Select adult and paediatric patients 8 years of age and older for Tzield treatment who have a diagnosis of Stage 2 type 1 diabetes. </w:t>
      </w:r>
    </w:p>
    <w:p w:rsidRPr="001B36EE" w:rsidR="00F63108" w:rsidP="001B36EE" w:rsidRDefault="00F63108" w14:paraId="13221BC3" w14:textId="77777777">
      <w:pPr>
        <w:pStyle w:val="EndNoteBibliography"/>
        <w:spacing w:after="0"/>
        <w:rPr>
          <w:rFonts w:ascii="Poppins" w:hAnsi="Poppins" w:cs="Poppins"/>
          <w:sz w:val="14"/>
          <w:szCs w:val="14"/>
          <w:lang w:val="en-GB"/>
        </w:rPr>
      </w:pPr>
      <w:r w:rsidRPr="001B36EE">
        <w:rPr>
          <w:rFonts w:ascii="Poppins" w:hAnsi="Poppins" w:cs="Poppins"/>
          <w:sz w:val="14"/>
          <w:szCs w:val="14"/>
          <w:lang w:val="en-GB"/>
        </w:rPr>
        <w:t>Confirm Stage 2 type 1 diabetes by documenting: (i) At least two positive pancreatic islet cell autoantibodies. (ii) Dysglycaemia without overt hyperglycaemia</w:t>
      </w:r>
    </w:p>
    <w:p w:rsidRPr="001B36EE" w:rsidR="00F63108" w:rsidP="001B36EE" w:rsidRDefault="00F63108" w14:paraId="1E8FB45A" w14:textId="77777777">
      <w:pPr>
        <w:pStyle w:val="EndNoteBibliography"/>
        <w:spacing w:after="0"/>
        <w:rPr>
          <w:rFonts w:ascii="Poppins" w:hAnsi="Poppins" w:cs="Poppins"/>
          <w:sz w:val="14"/>
          <w:szCs w:val="14"/>
          <w:lang w:val="en-GB"/>
        </w:rPr>
      </w:pPr>
      <w:r w:rsidRPr="001B36EE">
        <w:rPr>
          <w:rFonts w:ascii="Poppins" w:hAnsi="Poppins" w:cs="Poppins"/>
          <w:sz w:val="14"/>
          <w:szCs w:val="14"/>
          <w:lang w:val="en-GB"/>
        </w:rPr>
        <w:t xml:space="preserve">Ensure the clinical history of the patient does not suggest type 2 diabetes. </w:t>
      </w:r>
    </w:p>
    <w:p w:rsidRPr="001B36EE" w:rsidR="00F63108" w:rsidP="001B36EE" w:rsidRDefault="00F63108" w14:paraId="0A069021" w14:textId="77777777">
      <w:pPr>
        <w:pStyle w:val="EndNoteBibliography"/>
        <w:spacing w:after="0"/>
        <w:rPr>
          <w:rFonts w:ascii="Poppins" w:hAnsi="Poppins" w:cs="Poppins"/>
          <w:sz w:val="14"/>
          <w:szCs w:val="14"/>
          <w:lang w:val="en-GB"/>
        </w:rPr>
      </w:pPr>
      <w:r w:rsidRPr="001B36EE">
        <w:rPr>
          <w:rFonts w:ascii="Poppins" w:hAnsi="Poppins" w:cs="Poppins"/>
          <w:b/>
          <w:bCs/>
          <w:sz w:val="14"/>
          <w:szCs w:val="14"/>
          <w:lang w:val="en-GB"/>
        </w:rPr>
        <w:t xml:space="preserve">Dosage and Administration: </w:t>
      </w:r>
      <w:r w:rsidRPr="001B36EE">
        <w:rPr>
          <w:rFonts w:ascii="Poppins" w:hAnsi="Poppins" w:cs="Poppins"/>
          <w:i/>
          <w:iCs/>
          <w:sz w:val="14"/>
          <w:szCs w:val="14"/>
          <w:u w:val="single"/>
          <w:lang w:val="en-GB"/>
        </w:rPr>
        <w:t>Premedication</w:t>
      </w:r>
      <w:r w:rsidRPr="001B36EE">
        <w:rPr>
          <w:rFonts w:ascii="Poppins" w:hAnsi="Poppins" w:cs="Poppins"/>
          <w:i/>
          <w:iCs/>
          <w:sz w:val="14"/>
          <w:szCs w:val="14"/>
          <w:lang w:val="en-GB"/>
        </w:rPr>
        <w:t xml:space="preserve"> </w:t>
      </w:r>
    </w:p>
    <w:p w:rsidRPr="001B36EE" w:rsidR="00F63108" w:rsidP="001B36EE" w:rsidRDefault="00F63108" w14:paraId="38D3F4A4" w14:textId="77777777">
      <w:pPr>
        <w:pStyle w:val="EndNoteBibliography"/>
        <w:spacing w:after="0"/>
        <w:rPr>
          <w:rFonts w:ascii="Poppins" w:hAnsi="Poppins" w:cs="Poppins"/>
          <w:sz w:val="14"/>
          <w:szCs w:val="14"/>
          <w:lang w:val="en-GB"/>
        </w:rPr>
      </w:pPr>
      <w:r w:rsidRPr="001B36EE">
        <w:rPr>
          <w:rFonts w:ascii="Poppins" w:hAnsi="Poppins" w:cs="Poppins"/>
          <w:sz w:val="14"/>
          <w:szCs w:val="14"/>
          <w:lang w:val="en-GB"/>
        </w:rPr>
        <w:t xml:space="preserve">Premedicate prior to Tzield infusion for the first 5 days of dosing with: (1) a nonsteroidal anti-inflammatory drug (NSAID) or paracetamol, (2) an antihistamine, and/or (3) consider use of an antiemetic (see SmPC). Administer additional doses of premedication if needed. </w:t>
      </w:r>
    </w:p>
    <w:p w:rsidRPr="001B36EE" w:rsidR="00F63108" w:rsidP="001B36EE" w:rsidRDefault="00F63108" w14:paraId="365D0953"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Posology</w:t>
      </w:r>
      <w:r w:rsidRPr="001B36EE">
        <w:rPr>
          <w:rFonts w:ascii="Poppins" w:hAnsi="Poppins" w:cs="Poppins"/>
          <w:sz w:val="14"/>
          <w:szCs w:val="14"/>
          <w:lang w:val="en-GB"/>
        </w:rPr>
        <w:t>: Administer Tzield by intravenous infusion (over a minimum of 30 minutes), using a body surface area-based dosing (BSA), once daily for 14 consecutive days as follows: Day 1: 65 mcg/m</w:t>
      </w:r>
      <w:r w:rsidRPr="001B36EE">
        <w:rPr>
          <w:rFonts w:ascii="Poppins" w:hAnsi="Poppins" w:cs="Poppins"/>
          <w:sz w:val="14"/>
          <w:szCs w:val="14"/>
          <w:vertAlign w:val="superscript"/>
          <w:lang w:val="en-GB"/>
        </w:rPr>
        <w:t>2</w:t>
      </w:r>
      <w:r w:rsidRPr="001B36EE">
        <w:rPr>
          <w:rFonts w:ascii="Poppins" w:hAnsi="Poppins" w:cs="Poppins"/>
          <w:sz w:val="14"/>
          <w:szCs w:val="14"/>
          <w:lang w:val="en-GB"/>
        </w:rPr>
        <w:t>. Day 2: 125 mcg/m</w:t>
      </w:r>
      <w:r w:rsidRPr="001B36EE">
        <w:rPr>
          <w:rFonts w:ascii="Poppins" w:hAnsi="Poppins" w:cs="Poppins"/>
          <w:sz w:val="14"/>
          <w:szCs w:val="14"/>
          <w:vertAlign w:val="superscript"/>
          <w:lang w:val="en-GB"/>
        </w:rPr>
        <w:t>2</w:t>
      </w:r>
      <w:r w:rsidRPr="001B36EE">
        <w:rPr>
          <w:rFonts w:ascii="Poppins" w:hAnsi="Poppins" w:cs="Poppins"/>
          <w:sz w:val="14"/>
          <w:szCs w:val="14"/>
          <w:lang w:val="en-GB"/>
        </w:rPr>
        <w:t>. Day 3: 250 mcg/m</w:t>
      </w:r>
      <w:r w:rsidRPr="001B36EE">
        <w:rPr>
          <w:rFonts w:ascii="Poppins" w:hAnsi="Poppins" w:cs="Poppins"/>
          <w:sz w:val="14"/>
          <w:szCs w:val="14"/>
          <w:vertAlign w:val="superscript"/>
          <w:lang w:val="en-GB"/>
        </w:rPr>
        <w:t>2</w:t>
      </w:r>
      <w:r w:rsidRPr="001B36EE">
        <w:rPr>
          <w:rFonts w:ascii="Poppins" w:hAnsi="Poppins" w:cs="Poppins"/>
          <w:sz w:val="14"/>
          <w:szCs w:val="14"/>
          <w:lang w:val="en-GB"/>
        </w:rPr>
        <w:t>. Day 4: 500 mcg/m</w:t>
      </w:r>
      <w:r w:rsidRPr="001B36EE">
        <w:rPr>
          <w:rFonts w:ascii="Poppins" w:hAnsi="Poppins" w:cs="Poppins"/>
          <w:sz w:val="14"/>
          <w:szCs w:val="14"/>
          <w:vertAlign w:val="superscript"/>
          <w:lang w:val="en-GB"/>
        </w:rPr>
        <w:t>2</w:t>
      </w:r>
      <w:r w:rsidRPr="001B36EE">
        <w:rPr>
          <w:rFonts w:ascii="Poppins" w:hAnsi="Poppins" w:cs="Poppins"/>
          <w:sz w:val="14"/>
          <w:szCs w:val="14"/>
          <w:lang w:val="en-GB"/>
        </w:rPr>
        <w:t>. Days 5 through 14: 1.030 mcg/m</w:t>
      </w:r>
      <w:r w:rsidRPr="001B36EE">
        <w:rPr>
          <w:rFonts w:ascii="Poppins" w:hAnsi="Poppins" w:cs="Poppins"/>
          <w:sz w:val="14"/>
          <w:szCs w:val="14"/>
          <w:vertAlign w:val="superscript"/>
          <w:lang w:val="en-GB"/>
        </w:rPr>
        <w:t>2</w:t>
      </w:r>
      <w:r w:rsidRPr="001B36EE">
        <w:rPr>
          <w:rFonts w:ascii="Poppins" w:hAnsi="Poppins" w:cs="Poppins"/>
          <w:sz w:val="14"/>
          <w:szCs w:val="14"/>
          <w:lang w:val="en-GB"/>
        </w:rPr>
        <w:t xml:space="preserve">. Do not administer two doses on the same day. </w:t>
      </w:r>
    </w:p>
    <w:p w:rsidRPr="001B36EE" w:rsidR="00F63108" w:rsidP="001B36EE" w:rsidRDefault="00F63108" w14:paraId="2A3B9583"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Missed Dose</w:t>
      </w:r>
      <w:r w:rsidRPr="001B36EE">
        <w:rPr>
          <w:rFonts w:ascii="Poppins" w:hAnsi="Poppins" w:cs="Poppins"/>
          <w:i/>
          <w:iCs/>
          <w:sz w:val="14"/>
          <w:szCs w:val="14"/>
          <w:lang w:val="en-GB"/>
        </w:rPr>
        <w:t xml:space="preserve">: </w:t>
      </w:r>
      <w:r w:rsidRPr="001B36EE">
        <w:rPr>
          <w:rFonts w:ascii="Poppins" w:hAnsi="Poppins" w:cs="Poppins"/>
          <w:sz w:val="14"/>
          <w:szCs w:val="14"/>
          <w:lang w:val="en-GB"/>
        </w:rPr>
        <w:t xml:space="preserve">If a planned Tzield infusion is missed, resume dosing by administering all remaining doses on consecutive days to complete the 14-day treatment course. </w:t>
      </w:r>
    </w:p>
    <w:p w:rsidRPr="001B36EE" w:rsidR="00F63108" w:rsidP="001B36EE" w:rsidRDefault="00F63108" w14:paraId="4AE38CB2"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Special populations</w:t>
      </w:r>
      <w:r w:rsidRPr="001B36EE">
        <w:rPr>
          <w:rFonts w:ascii="Poppins" w:hAnsi="Poppins" w:cs="Poppins"/>
          <w:i/>
          <w:iCs/>
          <w:sz w:val="14"/>
          <w:szCs w:val="14"/>
          <w:lang w:val="en-GB"/>
        </w:rPr>
        <w:t xml:space="preserve">: Elderly patients: </w:t>
      </w:r>
      <w:r w:rsidRPr="001B36EE">
        <w:rPr>
          <w:rFonts w:ascii="Poppins" w:hAnsi="Poppins" w:cs="Poppins"/>
          <w:sz w:val="14"/>
          <w:szCs w:val="14"/>
          <w:lang w:val="en-GB"/>
        </w:rPr>
        <w:t xml:space="preserve">Clinical studies of Tzield did not include patients 65 years of age and older. </w:t>
      </w:r>
    </w:p>
    <w:p w:rsidRPr="001B36EE" w:rsidR="00F63108" w:rsidP="001B36EE" w:rsidRDefault="00F63108" w14:paraId="169954CB"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Paediatric patients</w:t>
      </w:r>
      <w:r w:rsidRPr="001B36EE">
        <w:rPr>
          <w:rFonts w:ascii="Poppins" w:hAnsi="Poppins" w:cs="Poppins"/>
          <w:i/>
          <w:iCs/>
          <w:sz w:val="14"/>
          <w:szCs w:val="14"/>
          <w:lang w:val="en-GB"/>
        </w:rPr>
        <w:t xml:space="preserve">: </w:t>
      </w:r>
      <w:r w:rsidRPr="001B36EE">
        <w:rPr>
          <w:rFonts w:ascii="Poppins" w:hAnsi="Poppins" w:cs="Poppins"/>
          <w:sz w:val="14"/>
          <w:szCs w:val="14"/>
          <w:lang w:val="en-GB"/>
        </w:rPr>
        <w:t xml:space="preserve">The safety and efficacy of Tzield in children younger than 8 years of age has not been established. No data are available. </w:t>
      </w:r>
    </w:p>
    <w:p w:rsidRPr="001B36EE" w:rsidR="00F63108" w:rsidP="001B36EE" w:rsidRDefault="00F63108" w14:paraId="1356B834" w14:textId="77777777">
      <w:pPr>
        <w:pStyle w:val="EndNoteBibliography"/>
        <w:spacing w:after="0"/>
        <w:rPr>
          <w:rFonts w:ascii="Poppins" w:hAnsi="Poppins" w:cs="Poppins"/>
          <w:sz w:val="14"/>
          <w:szCs w:val="14"/>
          <w:lang w:val="en-GB"/>
        </w:rPr>
      </w:pPr>
      <w:r w:rsidRPr="001B36EE">
        <w:rPr>
          <w:rFonts w:ascii="Poppins" w:hAnsi="Poppins" w:cs="Poppins"/>
          <w:b/>
          <w:bCs/>
          <w:sz w:val="14"/>
          <w:szCs w:val="14"/>
          <w:lang w:val="en-GB"/>
        </w:rPr>
        <w:t>Contraindications</w:t>
      </w:r>
      <w:r w:rsidRPr="001B36EE">
        <w:rPr>
          <w:rFonts w:ascii="Poppins" w:hAnsi="Poppins" w:cs="Poppins"/>
          <w:sz w:val="14"/>
          <w:szCs w:val="14"/>
          <w:lang w:val="en-GB"/>
        </w:rPr>
        <w:t xml:space="preserve">: Hypersensitivity to the active substance or to any of the excipients. </w:t>
      </w:r>
    </w:p>
    <w:p w:rsidRPr="001B36EE" w:rsidR="00F63108" w:rsidP="001B36EE" w:rsidRDefault="00F63108" w14:paraId="00E56F2C" w14:textId="77777777">
      <w:pPr>
        <w:pStyle w:val="EndNoteBibliography"/>
        <w:spacing w:after="0"/>
        <w:ind w:right="-669"/>
        <w:rPr>
          <w:rFonts w:ascii="Poppins" w:hAnsi="Poppins" w:cs="Poppins"/>
          <w:sz w:val="14"/>
          <w:szCs w:val="14"/>
          <w:lang w:val="en-GB"/>
        </w:rPr>
      </w:pPr>
      <w:r w:rsidRPr="001B36EE">
        <w:rPr>
          <w:rFonts w:ascii="Poppins" w:hAnsi="Poppins" w:cs="Poppins"/>
          <w:b/>
          <w:bCs/>
          <w:sz w:val="14"/>
          <w:szCs w:val="14"/>
          <w:lang w:val="en-GB"/>
        </w:rPr>
        <w:t xml:space="preserve">Warnings and precautions: </w:t>
      </w:r>
      <w:r w:rsidRPr="001B36EE">
        <w:rPr>
          <w:rFonts w:ascii="Poppins" w:hAnsi="Poppins" w:cs="Poppins"/>
          <w:i/>
          <w:iCs/>
          <w:sz w:val="14"/>
          <w:szCs w:val="14"/>
          <w:u w:val="single"/>
          <w:lang w:val="en-GB"/>
        </w:rPr>
        <w:t>Cytokine Release Syndrome</w:t>
      </w:r>
      <w:r w:rsidRPr="001B36EE">
        <w:rPr>
          <w:rFonts w:ascii="Poppins" w:hAnsi="Poppins" w:cs="Poppins"/>
          <w:i/>
          <w:iCs/>
          <w:sz w:val="14"/>
          <w:szCs w:val="14"/>
          <w:lang w:val="en-GB"/>
        </w:rPr>
        <w:t xml:space="preserve"> (CRS): </w:t>
      </w:r>
      <w:r w:rsidRPr="001B36EE">
        <w:rPr>
          <w:rFonts w:ascii="Poppins" w:hAnsi="Poppins" w:cs="Poppins"/>
          <w:sz w:val="14"/>
          <w:szCs w:val="14"/>
          <w:lang w:val="en-GB"/>
        </w:rPr>
        <w:t xml:space="preserve">CRS has been observed in patients treated with Tzield. In clinical trials, CRS was reported in 6% of patients treated with Tzield compared to 1% of patients in the control group during the treatment period and through 28 days after the last study drug administration. CRS manifestations in patients treated with Tzield included fever, nausea, fatigue, headache, myalgia, arthralgia, increased ALT, increased AST, and increased total bilirubin. These manifestations typically occurred during the first 5 days of Tzield treatment. </w:t>
      </w:r>
    </w:p>
    <w:p w:rsidRPr="001B36EE" w:rsidR="00F63108" w:rsidP="001B36EE" w:rsidRDefault="00F63108" w14:paraId="7CE69B03" w14:textId="77777777">
      <w:pPr>
        <w:pStyle w:val="EndNoteBibliography"/>
        <w:spacing w:after="0"/>
        <w:rPr>
          <w:rFonts w:ascii="Poppins" w:hAnsi="Poppins" w:cs="Poppins"/>
          <w:sz w:val="14"/>
          <w:szCs w:val="14"/>
          <w:lang w:val="en-GB"/>
        </w:rPr>
      </w:pPr>
      <w:r w:rsidRPr="001B36EE">
        <w:rPr>
          <w:rFonts w:ascii="Poppins" w:hAnsi="Poppins" w:cs="Poppins"/>
          <w:sz w:val="14"/>
          <w:szCs w:val="14"/>
          <w:lang w:val="en-GB"/>
        </w:rPr>
        <w:t xml:space="preserve">To mitigate CRS: Premedicate with antipyretics, antihistamines and/or antiemetics prior to Tzield treatment. Monitor liver enzymes and bilirubin during treatment. Discontinue Tzield treatment in patients who develop elevated ALT or AST more than 5 times the upper limit of normal (ULN) or bilirubin more than 3 times ULN. Treat symptoms of CRS with antipyretics, antihistamines and/or antiemetics. If severe CRS develops, consider temporarily pausing dosing for 1-2 days (and administer the remaining doses to complete the full 14-day course on consecutive days) or discontinuing treatment. </w:t>
      </w:r>
    </w:p>
    <w:p w:rsidRPr="001B36EE" w:rsidR="00F63108" w:rsidP="001B36EE" w:rsidRDefault="00F63108" w14:paraId="35D5AC7D"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Serious Infections</w:t>
      </w:r>
      <w:r w:rsidRPr="001B36EE">
        <w:rPr>
          <w:rFonts w:ascii="Poppins" w:hAnsi="Poppins" w:cs="Poppins"/>
          <w:i/>
          <w:iCs/>
          <w:sz w:val="14"/>
          <w:szCs w:val="14"/>
          <w:lang w:val="en-GB"/>
        </w:rPr>
        <w:t xml:space="preserve">: </w:t>
      </w:r>
      <w:r w:rsidRPr="001B36EE">
        <w:rPr>
          <w:rFonts w:ascii="Poppins" w:hAnsi="Poppins" w:cs="Poppins"/>
          <w:sz w:val="14"/>
          <w:szCs w:val="14"/>
          <w:lang w:val="en-GB"/>
        </w:rPr>
        <w:t xml:space="preserve">Bacterial and viral infections have occurred in patients treated with Tzield. In clinical trials, patients treated with Tzield had a higher rate of serious infections (3.5%) than patients in the control group (2%), including gastroenteritis, cellulitis, pneumonia, abscess, sepsis. Use of Tzield is not recommended in patients with active serious infection or chronic infection other than localised skin infections. Monitor patients for signs and symptoms of infection during and after Tzield treatment. If serious infection develops, treat appropriately, and discontinue Tzield. </w:t>
      </w:r>
    </w:p>
    <w:p w:rsidRPr="001B36EE" w:rsidR="00F63108" w:rsidP="001B36EE" w:rsidRDefault="00F63108" w14:paraId="61471A17"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Lymphopenia</w:t>
      </w:r>
      <w:r w:rsidRPr="001B36EE">
        <w:rPr>
          <w:rFonts w:ascii="Poppins" w:hAnsi="Poppins" w:cs="Poppins"/>
          <w:i/>
          <w:iCs/>
          <w:sz w:val="14"/>
          <w:szCs w:val="14"/>
          <w:lang w:val="en-GB"/>
        </w:rPr>
        <w:t xml:space="preserve">: </w:t>
      </w:r>
      <w:r w:rsidRPr="001B36EE">
        <w:rPr>
          <w:rFonts w:ascii="Poppins" w:hAnsi="Poppins" w:cs="Poppins"/>
          <w:sz w:val="14"/>
          <w:szCs w:val="14"/>
          <w:lang w:val="en-GB"/>
        </w:rPr>
        <w:t>In clinical trials, 80% of patients treated with Tzield developed lymphopenia compared to 17% of patients in the control group. For most patients treated with Tzield who experienced lymphopenia, lymphocyte levels began to recover after the fifth day of treatment and returned to pre-treatment values within two weeks after treatment completion and without dose interruption. Severe lymphopenia (&lt;0.5 x 10</w:t>
      </w:r>
      <w:r w:rsidRPr="001B36EE">
        <w:rPr>
          <w:rFonts w:ascii="Poppins" w:hAnsi="Poppins" w:cs="Poppins"/>
          <w:sz w:val="14"/>
          <w:szCs w:val="14"/>
          <w:vertAlign w:val="superscript"/>
          <w:lang w:val="en-GB"/>
        </w:rPr>
        <w:t>9</w:t>
      </w:r>
      <w:r w:rsidRPr="001B36EE">
        <w:rPr>
          <w:rFonts w:ascii="Poppins" w:hAnsi="Poppins" w:cs="Poppins"/>
          <w:sz w:val="14"/>
          <w:szCs w:val="14"/>
          <w:lang w:val="en-GB"/>
        </w:rPr>
        <w:t xml:space="preserve"> cells/L) lasting 1 week or longer occurred in 0.9% of patients treated with Tzield and 0.5% of patients treated with Tzield permanently discontinued Tzield because of lymphopenia. Monitor white blood cell counts during the treatment period. If prolonged severe lymphopenia (&lt;0.5 x 10</w:t>
      </w:r>
      <w:r w:rsidRPr="001B36EE">
        <w:rPr>
          <w:rFonts w:ascii="Poppins" w:hAnsi="Poppins" w:cs="Poppins"/>
          <w:sz w:val="14"/>
          <w:szCs w:val="14"/>
          <w:vertAlign w:val="superscript"/>
          <w:lang w:val="en-GB"/>
        </w:rPr>
        <w:t>9</w:t>
      </w:r>
      <w:r w:rsidRPr="001B36EE">
        <w:rPr>
          <w:rFonts w:ascii="Poppins" w:hAnsi="Poppins" w:cs="Poppins"/>
          <w:sz w:val="14"/>
          <w:szCs w:val="14"/>
          <w:lang w:val="en-GB"/>
        </w:rPr>
        <w:t xml:space="preserve"> cells/L lasting 1 week or longer) develops, discontinue Tzield. </w:t>
      </w:r>
    </w:p>
    <w:p w:rsidRPr="001B36EE" w:rsidR="00F63108" w:rsidP="001B36EE" w:rsidRDefault="00F63108" w14:paraId="7FC0C6A8"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Hypersensitivity Reactions</w:t>
      </w:r>
      <w:r w:rsidRPr="001B36EE">
        <w:rPr>
          <w:rFonts w:ascii="Poppins" w:hAnsi="Poppins" w:cs="Poppins"/>
          <w:i/>
          <w:iCs/>
          <w:sz w:val="14"/>
          <w:szCs w:val="14"/>
          <w:lang w:val="en-GB"/>
        </w:rPr>
        <w:t xml:space="preserve">: </w:t>
      </w:r>
      <w:r w:rsidRPr="001B36EE">
        <w:rPr>
          <w:rFonts w:ascii="Poppins" w:hAnsi="Poppins" w:cs="Poppins"/>
          <w:sz w:val="14"/>
          <w:szCs w:val="14"/>
          <w:lang w:val="en-GB"/>
        </w:rPr>
        <w:t xml:space="preserve">Acute hypersensitivity reactions including serum sickness, angioedema, urticaria, rash, vomiting and bronchospasm occurred in patients treated with Tzield. If severe hypersensitivity reactions occur, discontinue use of Tzield and treat promptly. </w:t>
      </w:r>
    </w:p>
    <w:p w:rsidRPr="001B36EE" w:rsidR="00F63108" w:rsidP="001B36EE" w:rsidRDefault="00F63108" w14:paraId="21922739"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Vaccinations</w:t>
      </w:r>
      <w:r w:rsidRPr="001B36EE">
        <w:rPr>
          <w:rFonts w:ascii="Poppins" w:hAnsi="Poppins" w:cs="Poppins"/>
          <w:i/>
          <w:iCs/>
          <w:sz w:val="14"/>
          <w:szCs w:val="14"/>
          <w:lang w:val="en-GB"/>
        </w:rPr>
        <w:t xml:space="preserve">: </w:t>
      </w:r>
      <w:r w:rsidRPr="001B36EE">
        <w:rPr>
          <w:rFonts w:ascii="Poppins" w:hAnsi="Poppins" w:cs="Poppins"/>
          <w:sz w:val="14"/>
          <w:szCs w:val="14"/>
          <w:lang w:val="en-GB"/>
        </w:rPr>
        <w:t xml:space="preserve">The safety of immunisation with live-attenuated vaccines in patients treated with Tzield has not been studied. Additionally, Tzield may interfere with the immune response to vaccination and decrease vaccine efficacy. Administer all age-appropriate vaccinations prior to starting Tzield. Inactivated or mRNA vaccinations are not recommended within the 2 weeks prior to Tzield treatment, during treatment, or 6 weeks after completion of treatment. Live-attenuated vaccinations are not recommended within the 8 weeks prior to Tzield treatment, during treatment, or up to 52 weeks after treatment. </w:t>
      </w:r>
    </w:p>
    <w:p w:rsidRPr="001B36EE" w:rsidR="00F63108" w:rsidP="001B36EE" w:rsidRDefault="00F63108" w14:paraId="7EF789D9" w14:textId="77777777">
      <w:pPr>
        <w:pStyle w:val="EndNoteBibliography"/>
        <w:spacing w:after="0"/>
        <w:rPr>
          <w:rFonts w:ascii="Poppins" w:hAnsi="Poppins" w:cs="Poppins"/>
          <w:sz w:val="14"/>
          <w:szCs w:val="14"/>
          <w:lang w:val="en-GB"/>
        </w:rPr>
      </w:pPr>
      <w:r w:rsidRPr="001B36EE">
        <w:rPr>
          <w:rFonts w:ascii="Poppins" w:hAnsi="Poppins" w:cs="Poppins"/>
          <w:i/>
          <w:iCs/>
          <w:sz w:val="14"/>
          <w:szCs w:val="14"/>
          <w:u w:val="single"/>
          <w:lang w:val="en-GB"/>
        </w:rPr>
        <w:t>Concomitant Immunosuppressive Medication</w:t>
      </w:r>
      <w:r w:rsidRPr="001B36EE">
        <w:rPr>
          <w:rFonts w:ascii="Poppins" w:hAnsi="Poppins" w:cs="Poppins"/>
          <w:i/>
          <w:iCs/>
          <w:sz w:val="14"/>
          <w:szCs w:val="14"/>
          <w:lang w:val="en-GB"/>
        </w:rPr>
        <w:t xml:space="preserve">: </w:t>
      </w:r>
    </w:p>
    <w:p w:rsidRPr="001B36EE" w:rsidR="00F63108" w:rsidP="001B36EE" w:rsidRDefault="00F63108" w14:paraId="7970495B" w14:textId="77777777">
      <w:pPr>
        <w:pStyle w:val="EndNoteBibliography"/>
        <w:spacing w:after="0"/>
        <w:rPr>
          <w:rFonts w:ascii="Poppins" w:hAnsi="Poppins" w:cs="Poppins"/>
          <w:sz w:val="14"/>
          <w:szCs w:val="14"/>
          <w:lang w:val="en-GB"/>
        </w:rPr>
      </w:pPr>
      <w:r w:rsidRPr="001B36EE">
        <w:rPr>
          <w:rFonts w:ascii="Poppins" w:hAnsi="Poppins" w:cs="Poppins"/>
          <w:sz w:val="14"/>
          <w:szCs w:val="14"/>
          <w:lang w:val="en-GB"/>
        </w:rPr>
        <w:t xml:space="preserve">In type 1 diabetes studies, the safety and efficacy of teplizumab in combination with immunosuppressive medication have not been evaluated (see SmPC). Caution should be exercised when considering concomitant use of immunosuppressive medication. </w:t>
      </w:r>
    </w:p>
    <w:p w:rsidRPr="001B36EE" w:rsidR="00F63108" w:rsidP="001B36EE" w:rsidRDefault="00F63108" w14:paraId="63BB2E41" w14:textId="77777777">
      <w:pPr>
        <w:pStyle w:val="EndNoteBibliography"/>
        <w:spacing w:after="0"/>
        <w:rPr>
          <w:rFonts w:ascii="Poppins" w:hAnsi="Poppins" w:cs="Poppins"/>
          <w:sz w:val="14"/>
          <w:szCs w:val="14"/>
          <w:lang w:val="en-GB"/>
        </w:rPr>
      </w:pPr>
      <w:r w:rsidRPr="001B36EE">
        <w:rPr>
          <w:rFonts w:ascii="Poppins" w:hAnsi="Poppins" w:cs="Poppins"/>
          <w:i/>
          <w:iCs/>
          <w:sz w:val="14"/>
          <w:szCs w:val="14"/>
          <w:lang w:val="en-GB"/>
        </w:rPr>
        <w:t>Excipients</w:t>
      </w:r>
      <w:r w:rsidRPr="001B36EE">
        <w:rPr>
          <w:rFonts w:ascii="Poppins" w:hAnsi="Poppins" w:cs="Poppins"/>
          <w:sz w:val="14"/>
          <w:szCs w:val="14"/>
          <w:lang w:val="en-GB"/>
        </w:rPr>
        <w:t xml:space="preserve">: </w:t>
      </w:r>
      <w:r w:rsidRPr="001B36EE">
        <w:rPr>
          <w:rFonts w:ascii="Poppins" w:hAnsi="Poppins" w:cs="Poppins"/>
          <w:i/>
          <w:iCs/>
          <w:sz w:val="14"/>
          <w:szCs w:val="14"/>
          <w:lang w:val="en-GB"/>
        </w:rPr>
        <w:t xml:space="preserve">Sodium: </w:t>
      </w:r>
      <w:r w:rsidRPr="001B36EE">
        <w:rPr>
          <w:rFonts w:ascii="Poppins" w:hAnsi="Poppins" w:cs="Poppins"/>
          <w:sz w:val="14"/>
          <w:szCs w:val="14"/>
          <w:lang w:val="en-GB"/>
        </w:rPr>
        <w:t xml:space="preserve">This medicinal product contains less than 1 mmol sodium (23 mg) per vial, that is to say essentially ‘sodium-free’. Tzield is administered in 0.9% sodium chloride intravenous solution (see SmPC). </w:t>
      </w:r>
    </w:p>
    <w:p w:rsidRPr="001B36EE" w:rsidR="00F63108" w:rsidP="001B36EE" w:rsidRDefault="00F63108" w14:paraId="1EEA59BE" w14:textId="77777777">
      <w:pPr>
        <w:pStyle w:val="EndNoteBibliography"/>
        <w:spacing w:after="0"/>
        <w:rPr>
          <w:rFonts w:ascii="Poppins" w:hAnsi="Poppins" w:cs="Poppins"/>
          <w:sz w:val="14"/>
          <w:szCs w:val="14"/>
          <w:lang w:val="en-GB"/>
        </w:rPr>
      </w:pPr>
      <w:r w:rsidRPr="001B36EE">
        <w:rPr>
          <w:rFonts w:ascii="Poppins" w:hAnsi="Poppins" w:cs="Poppins"/>
          <w:i/>
          <w:iCs/>
          <w:sz w:val="14"/>
          <w:szCs w:val="14"/>
          <w:lang w:val="en-GB"/>
        </w:rPr>
        <w:t xml:space="preserve">Polysorbate 80 </w:t>
      </w:r>
      <w:r w:rsidRPr="001B36EE">
        <w:rPr>
          <w:rFonts w:ascii="Poppins" w:hAnsi="Poppins" w:cs="Poppins"/>
          <w:sz w:val="14"/>
          <w:szCs w:val="14"/>
          <w:lang w:val="en-GB"/>
        </w:rPr>
        <w:t xml:space="preserve">This medicinal product contains 0.10 mg of polysorbate 80 in each vial which is equivalent to 0.05 mg/mL. </w:t>
      </w:r>
    </w:p>
    <w:p w:rsidRPr="001B36EE" w:rsidR="00F63108" w:rsidP="001B36EE" w:rsidRDefault="00F63108" w14:paraId="1F81979B" w14:textId="77777777">
      <w:pPr>
        <w:pStyle w:val="EndNoteBibliography"/>
        <w:spacing w:after="0"/>
        <w:rPr>
          <w:rFonts w:ascii="Poppins" w:hAnsi="Poppins" w:cs="Poppins"/>
          <w:sz w:val="14"/>
          <w:szCs w:val="14"/>
          <w:lang w:val="en-GB"/>
        </w:rPr>
      </w:pPr>
      <w:r w:rsidRPr="001B36EE">
        <w:rPr>
          <w:rFonts w:ascii="Poppins" w:hAnsi="Poppins" w:cs="Poppins"/>
          <w:b/>
          <w:bCs/>
          <w:sz w:val="14"/>
          <w:szCs w:val="14"/>
          <w:lang w:val="en-GB"/>
        </w:rPr>
        <w:t xml:space="preserve">Interactions: </w:t>
      </w:r>
      <w:r w:rsidRPr="001B36EE">
        <w:rPr>
          <w:rFonts w:ascii="Poppins" w:hAnsi="Poppins" w:cs="Poppins"/>
          <w:sz w:val="14"/>
          <w:szCs w:val="14"/>
          <w:lang w:val="en-GB"/>
        </w:rPr>
        <w:t xml:space="preserve">No drug interaction studies have been performed. </w:t>
      </w:r>
    </w:p>
    <w:p w:rsidRPr="001B36EE" w:rsidR="00C73CA4" w:rsidP="001B36EE" w:rsidRDefault="00F63108" w14:paraId="61A867AE" w14:textId="49A1D705">
      <w:pPr>
        <w:pStyle w:val="EndNoteBibliography"/>
        <w:spacing w:after="0"/>
        <w:rPr>
          <w:rFonts w:ascii="Poppins" w:hAnsi="Poppins" w:cs="Poppins"/>
          <w:sz w:val="14"/>
          <w:szCs w:val="14"/>
        </w:rPr>
      </w:pPr>
      <w:r w:rsidRPr="001B36EE">
        <w:rPr>
          <w:rFonts w:ascii="Poppins" w:hAnsi="Poppins" w:cs="Poppins"/>
          <w:b/>
          <w:bCs/>
          <w:sz w:val="14"/>
          <w:szCs w:val="14"/>
          <w:lang w:val="en-GB"/>
        </w:rPr>
        <w:t xml:space="preserve">Fertility, pregnancy and lactation: </w:t>
      </w:r>
      <w:r w:rsidRPr="001B36EE">
        <w:rPr>
          <w:rFonts w:ascii="Poppins" w:hAnsi="Poppins" w:cs="Poppins"/>
          <w:i/>
          <w:iCs/>
          <w:sz w:val="14"/>
          <w:szCs w:val="14"/>
          <w:lang w:val="en-GB"/>
        </w:rPr>
        <w:t>Pregnancy</w:t>
      </w:r>
      <w:r w:rsidRPr="001B36EE">
        <w:rPr>
          <w:rFonts w:ascii="Poppins" w:hAnsi="Poppins" w:cs="Poppins"/>
          <w:sz w:val="14"/>
          <w:szCs w:val="14"/>
          <w:lang w:val="en-GB"/>
        </w:rPr>
        <w:t>: To minimise exposure to a foetus, avoid use of Tzield during pregnancy and for at least 30 days prior to planned pregnancy</w:t>
      </w:r>
    </w:p>
    <w:p w:rsidRPr="001B36EE" w:rsidR="003106A2" w:rsidP="001B36EE" w:rsidRDefault="003106A2" w14:paraId="5702D3B8" w14:textId="77777777">
      <w:pPr>
        <w:pStyle w:val="EndNoteBibliography"/>
        <w:spacing w:after="0"/>
        <w:rPr>
          <w:rFonts w:ascii="Poppins" w:hAnsi="Poppins" w:cs="Poppins"/>
          <w:sz w:val="14"/>
          <w:szCs w:val="14"/>
        </w:rPr>
      </w:pPr>
      <w:r w:rsidRPr="001B36EE">
        <w:rPr>
          <w:rFonts w:ascii="Poppins" w:hAnsi="Poppins" w:cs="Poppins"/>
          <w:sz w:val="14"/>
          <w:szCs w:val="14"/>
        </w:rPr>
        <w:t>Breast-feeding: There are no data on the presence of Tzield in human milk, effects on milk production, or effects on the breastfed child. As endogenous maternal IgG and monoclonal antibodies are transferred into human milk, a lactating woman may interrupt breastfeeding and pump and discard breast milk during treatment and for 20 days after Tzield administration to minimise drug exposure to a breastfed child.</w:t>
      </w:r>
    </w:p>
    <w:p w:rsidRPr="001B36EE" w:rsidR="003106A2" w:rsidP="001B36EE" w:rsidRDefault="003106A2" w14:paraId="22812B10" w14:textId="77777777">
      <w:pPr>
        <w:pStyle w:val="EndNoteBibliography"/>
        <w:spacing w:after="0"/>
        <w:rPr>
          <w:rFonts w:ascii="Poppins" w:hAnsi="Poppins" w:cs="Poppins"/>
          <w:sz w:val="14"/>
          <w:szCs w:val="14"/>
        </w:rPr>
      </w:pPr>
      <w:r w:rsidRPr="001B36EE">
        <w:rPr>
          <w:rFonts w:ascii="Poppins" w:hAnsi="Poppins" w:cs="Poppins"/>
          <w:sz w:val="14"/>
          <w:szCs w:val="14"/>
        </w:rPr>
        <w:t>Fertility: There are no clinical data available for teplizumab on the effects on fertility.</w:t>
      </w:r>
    </w:p>
    <w:p w:rsidRPr="001B36EE" w:rsidR="003106A2" w:rsidP="001B36EE" w:rsidRDefault="003106A2" w14:paraId="505DC9E5" w14:textId="77777777">
      <w:pPr>
        <w:pStyle w:val="EndNoteBibliography"/>
        <w:spacing w:after="0"/>
        <w:rPr>
          <w:rFonts w:ascii="Poppins" w:hAnsi="Poppins" w:cs="Poppins"/>
          <w:b/>
          <w:bCs/>
          <w:sz w:val="14"/>
          <w:szCs w:val="14"/>
        </w:rPr>
      </w:pPr>
      <w:r w:rsidRPr="001B36EE">
        <w:rPr>
          <w:rFonts w:ascii="Poppins" w:hAnsi="Poppins" w:cs="Poppins"/>
          <w:b/>
          <w:bCs/>
          <w:sz w:val="14"/>
          <w:szCs w:val="14"/>
        </w:rPr>
        <w:t>Adverse Reactions:</w:t>
      </w:r>
    </w:p>
    <w:p w:rsidRPr="001B36EE" w:rsidR="003106A2" w:rsidP="001B36EE" w:rsidRDefault="003106A2" w14:paraId="3917422A" w14:textId="77777777">
      <w:pPr>
        <w:pStyle w:val="EndNoteBibliography"/>
        <w:spacing w:after="0"/>
        <w:rPr>
          <w:rFonts w:ascii="Poppins" w:hAnsi="Poppins" w:cs="Poppins"/>
          <w:sz w:val="14"/>
          <w:szCs w:val="14"/>
        </w:rPr>
      </w:pPr>
      <w:r w:rsidRPr="001B36EE">
        <w:rPr>
          <w:rFonts w:ascii="Poppins" w:hAnsi="Poppins" w:cs="Poppins"/>
          <w:sz w:val="14"/>
          <w:szCs w:val="14"/>
          <w:u w:val="single"/>
        </w:rPr>
        <w:t>Very common</w:t>
      </w:r>
      <w:r w:rsidRPr="001B36EE">
        <w:rPr>
          <w:rFonts w:ascii="Poppins" w:hAnsi="Poppins" w:cs="Poppins"/>
          <w:sz w:val="14"/>
          <w:szCs w:val="14"/>
        </w:rPr>
        <w:t>: Lymphopenia, leukopenia, neutropenia, decreased haemoglobin, thrombocytopenia, headache, nausea, rash, pruritus, pyrexia, increased alanine aminotransferase, increased aspartate aminotransferase, decreased blood bicarbonate and decreased blood calcium.</w:t>
      </w:r>
    </w:p>
    <w:p w:rsidRPr="001B36EE" w:rsidR="003106A2" w:rsidP="001B36EE" w:rsidRDefault="00D21E71" w14:paraId="4C521548" w14:textId="659A3F3F">
      <w:pPr>
        <w:pStyle w:val="EndNoteBibliography"/>
        <w:spacing w:after="0"/>
        <w:rPr>
          <w:rFonts w:ascii="Poppins" w:hAnsi="Poppins" w:cs="Poppins"/>
          <w:sz w:val="14"/>
          <w:szCs w:val="14"/>
        </w:rPr>
      </w:pPr>
      <w:r w:rsidRPr="001B36EE">
        <w:rPr>
          <w:rFonts w:ascii="Poppins" w:hAnsi="Poppins" w:cs="Poppins"/>
          <w:sz w:val="18"/>
          <w:szCs w:val="16"/>
        </w:rPr>
        <mc:AlternateContent>
          <mc:Choice Requires="wps">
            <w:drawing>
              <wp:anchor distT="0" distB="0" distL="114300" distR="114300" simplePos="0" relativeHeight="251728896" behindDoc="0" locked="0" layoutInCell="1" allowOverlap="1" wp14:anchorId="7B2B47B0" wp14:editId="6DC74BE8">
                <wp:simplePos x="0" y="0"/>
                <wp:positionH relativeFrom="column">
                  <wp:posOffset>271780</wp:posOffset>
                </wp:positionH>
                <wp:positionV relativeFrom="paragraph">
                  <wp:posOffset>415649</wp:posOffset>
                </wp:positionV>
                <wp:extent cx="6140548" cy="832513"/>
                <wp:effectExtent l="0" t="0" r="12700" b="24765"/>
                <wp:wrapNone/>
                <wp:docPr id="893365389" name="Rectangle 2"/>
                <wp:cNvGraphicFramePr/>
                <a:graphic xmlns:a="http://schemas.openxmlformats.org/drawingml/2006/main">
                  <a:graphicData uri="http://schemas.microsoft.com/office/word/2010/wordprocessingShape">
                    <wps:wsp>
                      <wps:cNvSpPr/>
                      <wps:spPr>
                        <a:xfrm>
                          <a:off x="0" y="0"/>
                          <a:ext cx="6140548" cy="832513"/>
                        </a:xfrm>
                        <a:prstGeom prst="rect">
                          <a:avLst/>
                        </a:prstGeom>
                        <a:no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w14:anchorId="53158C52">
              <v:rect id="Rectangle 2" style="position:absolute;margin-left:21.4pt;margin-top:32.75pt;width:483.5pt;height:65.55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ed="f" strokecolor="black [3213]" w14:anchorId="39346D5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"/>
            </w:pict>
          </mc:Fallback>
        </mc:AlternateContent>
      </w:r>
      <w:r w:rsidRPr="001B36EE" w:rsidR="003106A2">
        <w:rPr>
          <w:rFonts w:ascii="Poppins" w:hAnsi="Poppins" w:cs="Poppins"/>
          <w:sz w:val="14"/>
          <w:szCs w:val="14"/>
          <w:u w:val="single"/>
        </w:rPr>
        <w:t>Common</w:t>
      </w:r>
      <w:r w:rsidRPr="001B36EE" w:rsidR="003106A2">
        <w:rPr>
          <w:rFonts w:ascii="Poppins" w:hAnsi="Poppins" w:cs="Poppins"/>
          <w:sz w:val="14"/>
          <w:szCs w:val="14"/>
        </w:rPr>
        <w:t>: Cytokine release syndrome, nasopharyngitis, diarrhoea, urticaria and chills</w:t>
      </w:r>
    </w:p>
    <w:p w:rsidRPr="001B36EE" w:rsidR="003106A2" w:rsidP="001B36EE" w:rsidRDefault="003106A2" w14:paraId="040744B3" w14:textId="77777777">
      <w:pPr>
        <w:pStyle w:val="EndNoteBibliography"/>
        <w:spacing w:after="0"/>
        <w:rPr>
          <w:rFonts w:ascii="Poppins" w:hAnsi="Poppins" w:cs="Poppins"/>
          <w:sz w:val="14"/>
          <w:szCs w:val="14"/>
        </w:rPr>
      </w:pPr>
      <w:r w:rsidRPr="001B36EE">
        <w:rPr>
          <w:rFonts w:ascii="Poppins" w:hAnsi="Poppins" w:cs="Poppins"/>
          <w:sz w:val="14"/>
          <w:szCs w:val="14"/>
          <w:u w:val="single"/>
        </w:rPr>
        <w:t>Other Serious Adverse Drug Reactions</w:t>
      </w:r>
      <w:r w:rsidRPr="001B36EE">
        <w:rPr>
          <w:rFonts w:ascii="Poppins" w:hAnsi="Poppins" w:cs="Poppins"/>
          <w:sz w:val="14"/>
          <w:szCs w:val="14"/>
        </w:rPr>
        <w:t>: Haemoglobin decreased and thrombocytopenia, liver enzyme and bilirubin elevations and anti-teplizumab antibodies.</w:t>
      </w:r>
    </w:p>
    <w:p w:rsidRPr="001B36EE" w:rsidR="003106A2" w:rsidP="001B36EE" w:rsidRDefault="003106A2" w14:paraId="25E33CD4" w14:textId="77777777">
      <w:pPr>
        <w:pStyle w:val="EndNoteBibliography"/>
        <w:spacing w:after="0"/>
        <w:rPr>
          <w:rFonts w:ascii="Poppins" w:hAnsi="Poppins" w:cs="Poppins"/>
          <w:sz w:val="14"/>
          <w:szCs w:val="14"/>
        </w:rPr>
      </w:pPr>
      <w:r w:rsidRPr="001B36EE">
        <w:rPr>
          <w:rFonts w:ascii="Poppins" w:hAnsi="Poppins" w:cs="Poppins"/>
          <w:sz w:val="14"/>
          <w:szCs w:val="14"/>
        </w:rPr>
        <w:t>Prescribers should consult the SmPC in relation to other adverse reactions.</w:t>
      </w:r>
    </w:p>
    <w:p w:rsidRPr="001B36EE" w:rsidR="003106A2" w:rsidP="001B36EE" w:rsidRDefault="003106A2" w14:paraId="19A15487" w14:textId="77777777">
      <w:pPr>
        <w:pStyle w:val="EndNoteBibliography"/>
        <w:spacing w:after="0"/>
        <w:rPr>
          <w:rFonts w:ascii="Poppins" w:hAnsi="Poppins" w:cs="Poppins"/>
          <w:sz w:val="14"/>
          <w:szCs w:val="14"/>
        </w:rPr>
      </w:pPr>
      <w:r w:rsidRPr="001B36EE">
        <w:rPr>
          <w:rFonts w:ascii="Poppins" w:hAnsi="Poppins" w:cs="Poppins"/>
          <w:b/>
          <w:bCs/>
          <w:sz w:val="14"/>
          <w:szCs w:val="14"/>
        </w:rPr>
        <w:t>Legal Category:</w:t>
      </w:r>
      <w:r w:rsidRPr="001B36EE">
        <w:rPr>
          <w:rFonts w:ascii="Poppins" w:hAnsi="Poppins" w:cs="Poppins"/>
          <w:sz w:val="14"/>
          <w:szCs w:val="14"/>
        </w:rPr>
        <w:t xml:space="preserve"> POM</w:t>
      </w:r>
    </w:p>
    <w:p w:rsidRPr="001B36EE" w:rsidR="003106A2" w:rsidP="001B36EE" w:rsidRDefault="003106A2" w14:paraId="5D348BC5" w14:textId="77777777">
      <w:pPr>
        <w:pStyle w:val="EndNoteBibliography"/>
        <w:spacing w:after="0"/>
        <w:rPr>
          <w:rFonts w:ascii="Poppins" w:hAnsi="Poppins" w:cs="Poppins"/>
          <w:sz w:val="14"/>
          <w:szCs w:val="14"/>
        </w:rPr>
      </w:pPr>
      <w:r w:rsidRPr="001B36EE">
        <w:rPr>
          <w:rFonts w:ascii="Poppins" w:hAnsi="Poppins" w:cs="Poppins"/>
          <w:b/>
          <w:bCs/>
          <w:sz w:val="14"/>
          <w:szCs w:val="14"/>
        </w:rPr>
        <w:t>List price:</w:t>
      </w:r>
      <w:r w:rsidRPr="001B36EE">
        <w:rPr>
          <w:rFonts w:ascii="Poppins" w:hAnsi="Poppins" w:cs="Poppins"/>
          <w:sz w:val="14"/>
          <w:szCs w:val="14"/>
        </w:rPr>
        <w:t xml:space="preserve"> TZIELD 2mg/2ml x 1 vial: £10,939.12</w:t>
      </w:r>
    </w:p>
    <w:p w:rsidRPr="001B36EE" w:rsidR="003106A2" w:rsidP="001B36EE" w:rsidRDefault="003106A2" w14:paraId="43E2DE68" w14:textId="77777777">
      <w:pPr>
        <w:pStyle w:val="EndNoteBibliography"/>
        <w:spacing w:after="0"/>
        <w:rPr>
          <w:rFonts w:ascii="Poppins" w:hAnsi="Poppins" w:cs="Poppins"/>
          <w:sz w:val="14"/>
          <w:szCs w:val="14"/>
        </w:rPr>
      </w:pPr>
      <w:r w:rsidRPr="001B36EE">
        <w:rPr>
          <w:rFonts w:ascii="Poppins" w:hAnsi="Poppins" w:cs="Poppins"/>
          <w:b/>
          <w:bCs/>
          <w:sz w:val="14"/>
          <w:szCs w:val="14"/>
        </w:rPr>
        <w:t>Marketing Authorisation Number:</w:t>
      </w:r>
      <w:r w:rsidRPr="001B36EE">
        <w:rPr>
          <w:rFonts w:ascii="Poppins" w:hAnsi="Poppins" w:cs="Poppins"/>
          <w:sz w:val="14"/>
          <w:szCs w:val="14"/>
        </w:rPr>
        <w:t xml:space="preserve"> PLGB 04425/0908</w:t>
      </w:r>
    </w:p>
    <w:p w:rsidRPr="001B36EE" w:rsidR="003106A2" w:rsidP="001B36EE" w:rsidRDefault="003106A2" w14:paraId="717B0D73" w14:textId="77777777">
      <w:pPr>
        <w:pStyle w:val="EndNoteBibliography"/>
        <w:spacing w:after="0"/>
        <w:rPr>
          <w:rFonts w:ascii="Poppins" w:hAnsi="Poppins" w:cs="Poppins"/>
          <w:sz w:val="14"/>
          <w:szCs w:val="14"/>
        </w:rPr>
      </w:pPr>
      <w:r w:rsidRPr="001B36EE">
        <w:rPr>
          <w:rFonts w:ascii="Poppins" w:hAnsi="Poppins" w:cs="Poppins"/>
          <w:b/>
          <w:bCs/>
          <w:sz w:val="14"/>
          <w:szCs w:val="14"/>
        </w:rPr>
        <w:t>Marketing Authorisation Holder:</w:t>
      </w:r>
      <w:r w:rsidRPr="001B36EE">
        <w:rPr>
          <w:rFonts w:ascii="Poppins" w:hAnsi="Poppins" w:cs="Poppins"/>
          <w:sz w:val="14"/>
          <w:szCs w:val="14"/>
        </w:rPr>
        <w:t xml:space="preserve"> Sanofi, 410 Thames Valley Park Drive, Reading, Berkshire, RG6 1PT, UK.</w:t>
      </w:r>
    </w:p>
    <w:p w:rsidRPr="001B36EE" w:rsidR="003106A2" w:rsidP="001B36EE" w:rsidRDefault="003106A2" w14:paraId="18BFF488" w14:textId="77777777">
      <w:pPr>
        <w:pStyle w:val="EndNoteBibliography"/>
        <w:spacing w:after="0"/>
        <w:rPr>
          <w:rFonts w:ascii="Poppins" w:hAnsi="Poppins" w:cs="Poppins"/>
          <w:sz w:val="14"/>
          <w:szCs w:val="14"/>
        </w:rPr>
      </w:pPr>
      <w:r w:rsidRPr="001B36EE">
        <w:rPr>
          <w:rFonts w:ascii="Poppins" w:hAnsi="Poppins" w:cs="Poppins"/>
          <w:b/>
          <w:bCs/>
          <w:sz w:val="14"/>
          <w:szCs w:val="14"/>
        </w:rPr>
        <w:t>Further information is available from:</w:t>
      </w:r>
      <w:r w:rsidRPr="001B36EE">
        <w:rPr>
          <w:rFonts w:ascii="Poppins" w:hAnsi="Poppins" w:cs="Poppins"/>
          <w:sz w:val="14"/>
          <w:szCs w:val="14"/>
        </w:rPr>
        <w:t xml:space="preserve"> Sanofi, 410 Thames Valley Park Drive, Reading, Berkshire, RG6 1PT uk-medicalinformation@sanofi.com.</w:t>
      </w:r>
    </w:p>
    <w:p w:rsidRPr="001B36EE" w:rsidR="003106A2" w:rsidP="001B36EE" w:rsidRDefault="003106A2" w14:paraId="1714D3B6" w14:textId="77777777">
      <w:pPr>
        <w:pStyle w:val="EndNoteBibliography"/>
        <w:spacing w:after="0"/>
        <w:rPr>
          <w:rFonts w:ascii="Poppins" w:hAnsi="Poppins" w:cs="Poppins"/>
          <w:sz w:val="14"/>
          <w:szCs w:val="14"/>
        </w:rPr>
      </w:pPr>
      <w:r w:rsidRPr="001B36EE">
        <w:rPr>
          <w:rFonts w:ascii="Poppins" w:hAnsi="Poppins" w:cs="Poppins"/>
          <w:b/>
          <w:bCs/>
          <w:sz w:val="14"/>
          <w:szCs w:val="14"/>
        </w:rPr>
        <w:t>Date of preparation:</w:t>
      </w:r>
      <w:r w:rsidRPr="001B36EE">
        <w:rPr>
          <w:rFonts w:ascii="Poppins" w:hAnsi="Poppins" w:cs="Poppins"/>
          <w:sz w:val="14"/>
          <w:szCs w:val="14"/>
        </w:rPr>
        <w:t xml:space="preserve"> August 2025</w:t>
      </w:r>
    </w:p>
    <w:p w:rsidRPr="001B36EE" w:rsidR="004157CC" w:rsidP="001B36EE" w:rsidRDefault="003106A2" w14:paraId="02F9987C" w14:textId="150A997A">
      <w:pPr>
        <w:pStyle w:val="EndNoteBibliography"/>
        <w:spacing w:after="0"/>
        <w:rPr>
          <w:rFonts w:ascii="Poppins" w:hAnsi="Poppins" w:cs="Poppins"/>
          <w:sz w:val="14"/>
          <w:szCs w:val="14"/>
        </w:rPr>
      </w:pPr>
      <w:r w:rsidRPr="001B36EE">
        <w:rPr>
          <w:rFonts w:ascii="Poppins" w:hAnsi="Poppins" w:cs="Poppins"/>
          <w:b/>
          <w:bCs/>
          <w:sz w:val="14"/>
          <w:szCs w:val="14"/>
        </w:rPr>
        <w:t>Document Number:</w:t>
      </w:r>
      <w:r w:rsidRPr="001B36EE">
        <w:rPr>
          <w:rFonts w:ascii="Poppins" w:hAnsi="Poppins" w:cs="Poppins"/>
          <w:sz w:val="14"/>
          <w:szCs w:val="14"/>
        </w:rPr>
        <w:t xml:space="preserve"> MAT-XU-2500984(v1.0)</w:t>
      </w:r>
    </w:p>
    <w:p w:rsidRPr="001B36EE" w:rsidR="00E76C90" w:rsidP="001B36EE" w:rsidRDefault="00E76C90" w14:paraId="051B0B1D" w14:textId="77777777">
      <w:pPr>
        <w:pStyle w:val="EndNoteBibliography"/>
        <w:rPr>
          <w:rFonts w:ascii="Poppins" w:hAnsi="Poppins" w:cs="Poppins"/>
          <w:sz w:val="18"/>
          <w:szCs w:val="16"/>
        </w:rPr>
        <w:sectPr w:rsidRPr="001B36EE" w:rsidR="00E76C90" w:rsidSect="001B36EE">
          <w:footerReference w:type="default" r:id="rId54"/>
          <w:type w:val="continuous"/>
          <w:pgSz w:w="12240" w:h="15840" w:orient="portrait"/>
          <w:pgMar w:top="1276" w:right="1800" w:bottom="1276" w:left="851" w:header="720" w:footer="720" w:gutter="0"/>
          <w:cols w:space="720" w:num="2"/>
          <w:docGrid w:linePitch="360"/>
        </w:sectPr>
      </w:pPr>
    </w:p>
    <w:p w:rsidRPr="001B36EE" w:rsidR="004157CC" w:rsidP="001B36EE" w:rsidRDefault="004157CC" w14:paraId="1C7B5093" w14:textId="47821CDE">
      <w:pPr>
        <w:pStyle w:val="EndNoteBibliography"/>
        <w:rPr>
          <w:rFonts w:ascii="Poppins" w:hAnsi="Poppins" w:cs="Poppins"/>
          <w:sz w:val="18"/>
          <w:szCs w:val="16"/>
        </w:rPr>
      </w:pPr>
    </w:p>
    <w:p w:rsidRPr="001B36EE" w:rsidR="00F809BF" w:rsidP="001B36EE" w:rsidRDefault="00F809BF" w14:paraId="5772676E" w14:textId="4DCEC91B">
      <w:pPr>
        <w:pStyle w:val="EndNoteBibliography"/>
        <w:spacing w:after="0"/>
        <w:ind w:right="-291" w:hanging="284"/>
        <w:jc w:val="center"/>
        <w:rPr>
          <w:rFonts w:ascii="Poppins" w:hAnsi="Poppins" w:cs="Poppins"/>
          <w:b/>
          <w:bCs/>
          <w:color w:val="262626" w:themeColor="text1" w:themeTint="D9"/>
          <w:sz w:val="14"/>
          <w:szCs w:val="14"/>
          <w:lang w:val="en-GB"/>
        </w:rPr>
      </w:pPr>
      <w:r w:rsidRPr="001B36EE">
        <w:rPr>
          <w:rFonts w:ascii="Poppins" w:hAnsi="Poppins" w:cs="Poppins"/>
          <w:b/>
          <w:bCs/>
          <w:color w:val="262626" w:themeColor="text1" w:themeTint="D9"/>
          <w:sz w:val="14"/>
          <w:szCs w:val="14"/>
          <w:lang w:val="en-GB"/>
        </w:rPr>
        <w:t xml:space="preserve">Adverse events should be reported. Reporting forms and information can be found at </w:t>
      </w:r>
      <w:hyperlink w:history="1" r:id="rId55">
        <w:r w:rsidRPr="001B36EE">
          <w:rPr>
            <w:rStyle w:val="Hyperlink"/>
            <w:rFonts w:ascii="Poppins" w:hAnsi="Poppins" w:cs="Poppins"/>
            <w:b/>
            <w:bCs/>
            <w:color w:val="262626" w:themeColor="text1" w:themeTint="D9"/>
            <w:sz w:val="14"/>
            <w:szCs w:val="14"/>
            <w:lang w:val="en-GB"/>
          </w:rPr>
          <w:t>www.mhra.gov.uk/yellowcard</w:t>
        </w:r>
      </w:hyperlink>
      <w:r w:rsidRPr="001B36EE">
        <w:rPr>
          <w:rFonts w:ascii="Poppins" w:hAnsi="Poppins" w:cs="Poppins"/>
          <w:b/>
          <w:bCs/>
          <w:color w:val="262626" w:themeColor="text1" w:themeTint="D9"/>
          <w:sz w:val="14"/>
          <w:szCs w:val="14"/>
          <w:lang w:val="en-GB"/>
        </w:rPr>
        <w:t xml:space="preserve"> or search for MHRA Yellow Card in the Google Play or Apple App Store.</w:t>
      </w:r>
    </w:p>
    <w:p w:rsidRPr="001B36EE" w:rsidR="00F809BF" w:rsidP="001B36EE" w:rsidRDefault="00F809BF" w14:paraId="5AF6DCBF" w14:textId="77777777">
      <w:pPr>
        <w:pStyle w:val="EndNoteBibliography"/>
        <w:spacing w:after="0"/>
        <w:jc w:val="center"/>
        <w:rPr>
          <w:rFonts w:ascii="Poppins" w:hAnsi="Poppins" w:cs="Poppins"/>
          <w:b/>
          <w:bCs/>
          <w:color w:val="262626" w:themeColor="text1" w:themeTint="D9"/>
          <w:sz w:val="14"/>
          <w:szCs w:val="14"/>
          <w:lang w:val="en-GB"/>
        </w:rPr>
      </w:pPr>
      <w:r w:rsidRPr="001B36EE">
        <w:rPr>
          <w:rFonts w:ascii="Poppins" w:hAnsi="Poppins" w:cs="Poppins"/>
          <w:b/>
          <w:bCs/>
          <w:color w:val="262626" w:themeColor="text1" w:themeTint="D9"/>
          <w:sz w:val="14"/>
          <w:szCs w:val="14"/>
          <w:lang w:val="en-GB"/>
        </w:rPr>
        <w:t>Adverse events should also be reported to the Sanofi drug safety department on Tel: 0800 0902 314.</w:t>
      </w:r>
    </w:p>
    <w:p w:rsidR="004157CC" w:rsidP="00D21E71" w:rsidRDefault="00F809BF" w14:paraId="6BE6F1D3" w14:textId="49B00EEC">
      <w:pPr>
        <w:pStyle w:val="EndNoteBibliography"/>
        <w:spacing w:after="0"/>
        <w:jc w:val="center"/>
      </w:pPr>
      <w:r w:rsidRPr="001B36EE">
        <w:rPr>
          <w:rFonts w:ascii="Poppins" w:hAnsi="Poppins" w:cs="Poppins"/>
          <w:b/>
          <w:bCs/>
          <w:color w:val="262626" w:themeColor="text1" w:themeTint="D9"/>
          <w:sz w:val="14"/>
          <w:szCs w:val="14"/>
          <w:lang w:val="en-GB"/>
        </w:rPr>
        <w:t xml:space="preserve">Alternatively, send via email to </w:t>
      </w:r>
      <w:hyperlink w:history="1" r:id="rId56">
        <w:r w:rsidRPr="001B36EE">
          <w:rPr>
            <w:rStyle w:val="Hyperlink"/>
            <w:rFonts w:ascii="Poppins" w:hAnsi="Poppins" w:cs="Poppins"/>
            <w:b/>
            <w:bCs/>
            <w:color w:val="262626" w:themeColor="text1" w:themeTint="D9"/>
            <w:sz w:val="14"/>
            <w:szCs w:val="14"/>
            <w:lang w:val="en-GB"/>
          </w:rPr>
          <w:t>UK-drugsafety@sanofi.com</w:t>
        </w:r>
      </w:hyperlink>
    </w:p>
    <w:p w:rsidRPr="00D21E71" w:rsidR="00D21E71" w:rsidP="00D21E71" w:rsidRDefault="00D21E71" w14:paraId="11FEF458" w14:textId="77777777">
      <w:pPr>
        <w:pStyle w:val="EndNoteBibliography"/>
        <w:spacing w:after="0"/>
        <w:jc w:val="center"/>
        <w:rPr>
          <w:rFonts w:ascii="Poppins" w:hAnsi="Poppins" w:cs="Poppins"/>
          <w:b/>
          <w:bCs/>
          <w:color w:val="262626" w:themeColor="text1" w:themeTint="D9"/>
          <w:sz w:val="14"/>
          <w:szCs w:val="14"/>
          <w:lang w:val="en-GB"/>
        </w:rPr>
      </w:pPr>
    </w:p>
    <w:sectPr w:rsidRPr="00D21E71" w:rsidR="00D21E71" w:rsidSect="00727D8D">
      <w:type w:val="continuous"/>
      <w:pgSz w:w="12240" w:h="15840" w:orient="portrait"/>
      <w:pgMar w:top="1276" w:right="1800" w:bottom="1276" w:left="1800" w:header="720" w:footer="720" w:gutter="0"/>
      <w:pgNumType w:start="35"/>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F0FC2" w:rsidP="000A3DA0" w:rsidRDefault="006F0FC2" w14:paraId="30C088F2" w14:textId="77777777">
      <w:pPr>
        <w:spacing w:after="0" w:line="240" w:lineRule="auto"/>
      </w:pPr>
      <w:r>
        <w:separator/>
      </w:r>
    </w:p>
  </w:endnote>
  <w:endnote w:type="continuationSeparator" w:id="0">
    <w:p w:rsidR="006F0FC2" w:rsidP="000A3DA0" w:rsidRDefault="006F0FC2" w14:paraId="2830025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w:fontKey="{F534C5C6-B934-1C43-BC3B-D086274A30F3}" r:id="rId1"/>
  </w:font>
  <w:font w:name="Times New Roman">
    <w:panose1 w:val="02020603050405020304"/>
    <w:charset w:val="00"/>
    <w:family w:val="roman"/>
    <w:pitch w:val="variable"/>
    <w:sig w:usb0="E0002EFF" w:usb1="C000785B" w:usb2="00000009" w:usb3="00000000" w:csb0="000001FF" w:csb1="00000000"/>
    <w:embedRegular w:fontKey="{44D31760-D364-8249-8C7F-FFEAD5145D0A}" r:id="rId2"/>
    <w:embedBold w:fontKey="{EC22390A-4F41-4E4A-BB19-8FFEBF8C3357}" r:id="rId3"/>
    <w:embedItalic w:fontKey="{AC911EB1-F36A-F145-97BD-AA8A3D0A7474}" r:id="rId4"/>
    <w:embedBoldItalic w:fontKey="{C942AE22-2BD2-884A-95F6-00DD94A0C854}" r:id="rId5"/>
  </w:font>
  <w:font w:name="Poppins">
    <w:panose1 w:val="00000500000000000000"/>
    <w:charset w:val="00"/>
    <w:family w:val="auto"/>
    <w:pitch w:val="variable"/>
    <w:sig w:usb0="00008007" w:usb1="00000000" w:usb2="00000000" w:usb3="00000000" w:csb0="00000093" w:csb1="00000000"/>
    <w:embedRegular w:fontKey="{E296CC4A-61EE-1744-B9B2-963CF227EE28}" r:id="rId6"/>
    <w:embedBold w:fontKey="{E44C7A66-309F-5F48-A17A-5D3EA053B16D}" r:id="rId7"/>
    <w:embedItalic w:fontKey="{2C037A8E-D6C2-AF4F-84A2-837D464D7F61}" r:id="rId8"/>
    <w:embedBoldItalic w:fontKey="{8ED29556-29AA-EE44-989C-0A826666115A}" r:id="rId9"/>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embedRegular w:fontKey="{93182173-4F80-9747-97E5-B6D1180CB6E0}" r:id="rId10"/>
  </w:font>
  <w:font w:name="Wingdings">
    <w:panose1 w:val="05000000000000000000"/>
    <w:charset w:val="4D"/>
    <w:family w:val="decorative"/>
    <w:pitch w:val="variable"/>
    <w:sig w:usb0="00000003" w:usb1="00000000" w:usb2="00000000" w:usb3="00000000" w:csb0="80000001" w:csb1="00000000"/>
    <w:embedRegular w:fontKey="{C27B8C80-F503-9648-997C-9511F4C948C9}" r:id="rId11"/>
  </w:font>
  <w:font w:name="Cambria">
    <w:panose1 w:val="02040503050406030204"/>
    <w:charset w:val="00"/>
    <w:family w:val="roman"/>
    <w:pitch w:val="variable"/>
    <w:sig w:usb0="E00006FF" w:usb1="420024FF" w:usb2="02000000" w:usb3="00000000" w:csb0="0000019F" w:csb1="00000000"/>
    <w:embedRegular w:fontKey="{D1A01B4A-330B-6042-86E9-68F419A19427}" r:id="rId12"/>
    <w:embedBold w:fontKey="{3FB6E05C-1E10-F140-85D1-CB4CB3093AA4}" r:id="rId13"/>
    <w:embedItalic w:fontKey="{BE79406B-4A69-6D49-BC91-2E3A839D37A3}" r:id="rId14"/>
    <w:embedBoldItalic w:fontKey="{1410D75E-ED8D-1A4B-8ABD-E784E972E21D}" r:id="rId15"/>
  </w:font>
  <w:font w:name="Calibri">
    <w:panose1 w:val="020F0502020204030204"/>
    <w:charset w:val="00"/>
    <w:family w:val="swiss"/>
    <w:pitch w:val="variable"/>
    <w:sig w:usb0="E4002EFF" w:usb1="C200247B" w:usb2="00000009" w:usb3="00000000" w:csb0="000001FF" w:csb1="00000000"/>
    <w:embedRegular w:fontKey="{FB61317F-D4C9-F84E-BBE1-755B7599D66E}" r:id="rId16"/>
    <w:embedBold w:fontKey="{92CAA08B-13AD-DA40-90E8-1E72CAB52863}" r:id="rId17"/>
    <w:embedItalic w:fontKey="{56A6E27E-EB28-E942-88D9-ADB5EAFDFD04}" r:id="rId18"/>
    <w:embedBoldItalic w:fontKey="{965BBF5D-3C07-8B43-9CD4-A90FF6BB504A}" r:id="rId19"/>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modern"/>
    <w:pitch w:val="fixed"/>
    <w:sig w:usb0="E0002AFF" w:usb1="C0007843" w:usb2="00000009" w:usb3="00000000" w:csb0="000001FF" w:csb1="00000000"/>
    <w:embedRegular w:fontKey="{4B607E28-A199-1D4A-8EDB-0EFC66305E24}" r:id="rId20"/>
  </w:font>
  <w:font w:name="Arial">
    <w:panose1 w:val="020B0604020202020204"/>
    <w:charset w:val="00"/>
    <w:family w:val="swiss"/>
    <w:pitch w:val="variable"/>
    <w:sig w:usb0="E0002EFF" w:usb1="C000785B" w:usb2="00000009" w:usb3="00000000" w:csb0="000001FF" w:csb1="00000000"/>
    <w:embedRegular w:fontKey="{A4E1CE18-F3A4-E34A-815D-27A831170150}" r:id="rId21"/>
    <w:embedBold w:fontKey="{AA43F77A-2FFD-CB46-908B-5DED841B0FD5}" r:id="rId22"/>
  </w:font>
  <w:font w:name="Aptos">
    <w:panose1 w:val="020B0004020202020204"/>
    <w:charset w:val="00"/>
    <w:family w:val="swiss"/>
    <w:pitch w:val="variable"/>
    <w:sig w:usb0="20000287" w:usb1="00000003" w:usb2="00000000" w:usb3="00000000" w:csb0="0000019F" w:csb1="00000000"/>
    <w:embedRegular w:fontKey="{F86F753B-96C8-4541-8BE1-713A24169513}" r:id="rId2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630DEC" w:rsidR="00450D0C" w:rsidP="00B0655E" w:rsidRDefault="00F82E4F" w14:paraId="4EC224EB" w14:textId="40FC348E">
    <w:pPr>
      <w:pStyle w:val="Footer"/>
      <w:pBdr>
        <w:top w:val="single" w:color="D9D9D9" w:themeColor="background1" w:themeShade="D9" w:sz="4" w:space="6"/>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sidRPr="00630DEC">
      <w:rPr>
        <w:rFonts w:ascii="Poppins" w:hAnsi="Poppins" w:cs="Poppins"/>
        <w:b/>
        <w:bCs/>
        <w:noProof/>
        <w:color w:val="0023C8"/>
        <w:sz w:val="18"/>
        <w:szCs w:val="18"/>
      </w:rPr>
      <w:t>1</w:t>
    </w:r>
    <w:r w:rsidRPr="00630DEC">
      <w:rPr>
        <w:rFonts w:ascii="Poppins" w:hAnsi="Poppins" w:cs="Poppins"/>
        <w:b/>
        <w:bCs/>
        <w:noProof/>
        <w:color w:val="0023C8"/>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1B36EE" w:rsidR="00547671" w:rsidRDefault="001B36EE" w14:paraId="638F449B" w14:textId="5631B118">
    <w:pPr>
      <w:pStyle w:val="Footer"/>
      <w:rPr>
        <w:rFonts w:ascii="Arial" w:hAnsi="Arial" w:cs="Arial"/>
        <w:color w:val="262626" w:themeColor="text1" w:themeTint="D9"/>
        <w:sz w:val="18"/>
        <w:szCs w:val="18"/>
      </w:rPr>
    </w:pPr>
    <w:r w:rsidRPr="001B36EE">
      <w:rPr>
        <w:rFonts w:ascii="Arial" w:hAnsi="Arial" w:cs="Arial"/>
        <w:color w:val="262626" w:themeColor="text1" w:themeTint="D9"/>
        <w:sz w:val="18"/>
        <w:szCs w:val="18"/>
      </w:rPr>
      <w:t>MAT-XU-2600220 (v1.0)   I   May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1B36EE" w:rsidR="00BB7FF1" w:rsidP="001B36EE" w:rsidRDefault="001B36EE" w14:paraId="6B956A8D" w14:textId="0AF8097A">
    <w:pPr>
      <w:pStyle w:val="Footer"/>
      <w:pBdr>
        <w:top w:val="single" w:color="D9D9D9" w:themeColor="background1" w:themeShade="D9" w:sz="4" w:space="6"/>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Pr>
        <w:rFonts w:ascii="Poppins" w:hAnsi="Poppins" w:cs="Poppins"/>
        <w:b/>
        <w:bCs/>
        <w:color w:val="0023C8"/>
        <w:sz w:val="18"/>
        <w:szCs w:val="18"/>
      </w:rPr>
      <w:t>45</w:t>
    </w:r>
    <w:r w:rsidRPr="00630DEC">
      <w:rPr>
        <w:rFonts w:ascii="Poppins" w:hAnsi="Poppins" w:cs="Poppins"/>
        <w:b/>
        <w:bCs/>
        <w:noProof/>
        <w:color w:val="0023C8"/>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1B36EE" w:rsidR="00D51AF0" w:rsidP="001B36EE" w:rsidRDefault="001B36EE" w14:paraId="5E3DC4BE" w14:textId="07E34336">
    <w:pPr>
      <w:pStyle w:val="Footer"/>
      <w:pBdr>
        <w:top w:val="single" w:color="D9D9D9" w:themeColor="background1" w:themeShade="D9" w:sz="4" w:space="6"/>
      </w:pBdr>
      <w:jc w:val="right"/>
      <w:rPr>
        <w:rFonts w:ascii="Poppins" w:hAnsi="Poppins" w:cs="Poppins"/>
        <w:b/>
        <w:bCs/>
        <w:color w:val="0023C8"/>
        <w:sz w:val="18"/>
        <w:szCs w:val="18"/>
      </w:rPr>
    </w:pPr>
    <w:r w:rsidRPr="00630DEC">
      <w:rPr>
        <w:rFonts w:ascii="Poppins" w:hAnsi="Poppins" w:cs="Poppins"/>
        <w:b/>
        <w:bCs/>
        <w:color w:val="0023C8"/>
        <w:sz w:val="18"/>
        <w:szCs w:val="18"/>
      </w:rPr>
      <w:fldChar w:fldCharType="begin"/>
    </w:r>
    <w:r w:rsidRPr="00630DEC">
      <w:rPr>
        <w:rFonts w:ascii="Poppins" w:hAnsi="Poppins" w:cs="Poppins"/>
        <w:b/>
        <w:bCs/>
        <w:color w:val="0023C8"/>
        <w:sz w:val="18"/>
        <w:szCs w:val="18"/>
      </w:rPr>
      <w:instrText xml:space="preserve"> PAGE   \* MERGEFORMAT </w:instrText>
    </w:r>
    <w:r w:rsidRPr="00630DEC">
      <w:rPr>
        <w:rFonts w:ascii="Poppins" w:hAnsi="Poppins" w:cs="Poppins"/>
        <w:b/>
        <w:bCs/>
        <w:color w:val="0023C8"/>
        <w:sz w:val="18"/>
        <w:szCs w:val="18"/>
      </w:rPr>
      <w:fldChar w:fldCharType="separate"/>
    </w:r>
    <w:r>
      <w:rPr>
        <w:rFonts w:ascii="Poppins" w:hAnsi="Poppins" w:cs="Poppins"/>
        <w:b/>
        <w:bCs/>
        <w:color w:val="0023C8"/>
        <w:sz w:val="18"/>
        <w:szCs w:val="18"/>
      </w:rPr>
      <w:t>45</w:t>
    </w:r>
    <w:r w:rsidRPr="00630DEC">
      <w:rPr>
        <w:rFonts w:ascii="Poppins" w:hAnsi="Poppins" w:cs="Poppins"/>
        <w:b/>
        <w:bCs/>
        <w:noProof/>
        <w:color w:val="0023C8"/>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F0FC2" w:rsidP="000A3DA0" w:rsidRDefault="006F0FC2" w14:paraId="39F34D73" w14:textId="77777777">
      <w:pPr>
        <w:spacing w:after="0" w:line="240" w:lineRule="auto"/>
      </w:pPr>
      <w:r>
        <w:separator/>
      </w:r>
    </w:p>
  </w:footnote>
  <w:footnote w:type="continuationSeparator" w:id="0">
    <w:p w:rsidR="006F0FC2" w:rsidP="000A3DA0" w:rsidRDefault="006F0FC2" w14:paraId="7F4CF25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9A169B" w:rsidRDefault="009A169B" w14:paraId="6D9F205F" w14:textId="541460F0">
    <w:pPr>
      <w:pStyle w:val="Header"/>
    </w:pPr>
    <w:r>
      <w:rPr>
        <w:noProof/>
      </w:rPr>
      <mc:AlternateContent>
        <mc:Choice Requires="wps">
          <w:drawing>
            <wp:anchor distT="0" distB="0" distL="0" distR="0" simplePos="0" relativeHeight="251663360" behindDoc="0" locked="0" layoutInCell="1" allowOverlap="1" wp14:anchorId="2CD7B287" wp14:editId="2B4F7FD5">
              <wp:simplePos x="635" y="635"/>
              <wp:positionH relativeFrom="page">
                <wp:align>center</wp:align>
              </wp:positionH>
              <wp:positionV relativeFrom="page">
                <wp:align>top</wp:align>
              </wp:positionV>
              <wp:extent cx="424180" cy="368935"/>
              <wp:effectExtent l="0" t="0" r="7620" b="12065"/>
              <wp:wrapNone/>
              <wp:docPr id="1291586791" name="Text Box 11"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24180" cy="368935"/>
                      </a:xfrm>
                      <a:prstGeom prst="rect">
                        <a:avLst/>
                      </a:prstGeom>
                      <a:noFill/>
                      <a:ln>
                        <a:noFill/>
                      </a:ln>
                    </wps:spPr>
                    <wps:txbx>
                      <w:txbxContent>
                        <w:p w:rsidRPr="009A169B" w:rsidR="009A169B" w:rsidP="009A169B" w:rsidRDefault="009A169B" w14:paraId="376C6CCB" w14:textId="559679CB">
                          <w:pPr>
                            <w:spacing w:after="0"/>
                            <w:rPr>
                              <w:rFonts w:ascii="Aptos" w:hAnsi="Aptos" w:eastAsia="Aptos" w:cs="Aptos"/>
                              <w:noProof/>
                              <w:color w:val="4A569E"/>
                              <w:sz w:val="20"/>
                              <w:szCs w:val="20"/>
                            </w:rPr>
                          </w:pPr>
                          <w:r w:rsidRPr="009A169B">
                            <w:rPr>
                              <w:rFonts w:ascii="Aptos" w:hAnsi="Aptos" w:eastAsia="Aptos" w:cs="Aptos"/>
                              <w:noProof/>
                              <w:color w:val="4A569E"/>
                              <w:sz w:val="20"/>
                              <w:szCs w:val="20"/>
                            </w:rPr>
                            <w:t>Internal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w14:anchorId="477EDE93">
            <v:shapetype id="_x0000_t202" coordsize="21600,21600" o:spt="202" path="m,l,21600r21600,l21600,xe" w14:anchorId="2CD7B287">
              <v:stroke joinstyle="miter"/>
              <v:path gradientshapeok="t" o:connecttype="rect"/>
            </v:shapetype>
            <v:shape id="Text Box 11" style="position:absolute;margin-left:0;margin-top:0;width:33.4pt;height:29.05pt;z-index:251663360;visibility:visible;mso-wrap-style:none;mso-wrap-distance-left:0;mso-wrap-distance-top:0;mso-wrap-distance-right:0;mso-wrap-distance-bottom:0;mso-position-horizontal:center;mso-position-horizontal-relative:page;mso-position-vertical:top;mso-position-vertical-relative:page;v-text-anchor:top" alt="Internal" o:spid="_x0000_s1032" filled="f"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">
              <v:fill o:detectmouseclick="t"/>
              <v:textbox style="mso-fit-shape-to-text:t" inset="0,15pt,0,0">
                <w:txbxContent>
                  <w:p w:rsidRPr="009A169B" w:rsidR="009A169B" w:rsidP="009A169B" w:rsidRDefault="009A169B" w14:paraId="7CBB83DA" w14:textId="559679CB">
                    <w:pPr>
                      <w:spacing w:after="0"/>
                      <w:rPr>
                        <w:rFonts w:ascii="Aptos" w:hAnsi="Aptos" w:eastAsia="Aptos" w:cs="Aptos"/>
                        <w:noProof/>
                        <w:color w:val="4A569E"/>
                        <w:sz w:val="20"/>
                        <w:szCs w:val="20"/>
                      </w:rPr>
                    </w:pPr>
                    <w:r w:rsidRPr="009A169B">
                      <w:rPr>
                        <w:rFonts w:ascii="Aptos" w:hAnsi="Aptos" w:eastAsia="Aptos" w:cs="Aptos"/>
                        <w:noProof/>
                        <w:color w:val="4A569E"/>
                        <w:sz w:val="20"/>
                        <w:szCs w:val="20"/>
                      </w:rPr>
                      <w:t>Internal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241F1" w:rsidRDefault="005241F1" w14:paraId="26782166" w14:textId="763EC39B">
    <w:pPr>
      <w:pStyle w:val="Header"/>
    </w:pPr>
    <w:r w:rsidRPr="00C43185">
      <w:rPr>
        <w:rFonts w:ascii="Poppins" w:hAnsi="Poppins" w:cs="Poppins"/>
        <w:noProof/>
        <w14:ligatures w14:val="standardContextual"/>
      </w:rPr>
      <mc:AlternateContent>
        <mc:Choice Requires="wps">
          <w:drawing>
            <wp:anchor distT="0" distB="0" distL="114300" distR="114300" simplePos="0" relativeHeight="251659264" behindDoc="1" locked="0" layoutInCell="1" allowOverlap="1" wp14:anchorId="1985034F" wp14:editId="60E309F1">
              <wp:simplePos x="0" y="0"/>
              <wp:positionH relativeFrom="page">
                <wp:posOffset>-48260</wp:posOffset>
              </wp:positionH>
              <wp:positionV relativeFrom="paragraph">
                <wp:posOffset>-491490</wp:posOffset>
              </wp:positionV>
              <wp:extent cx="7904425" cy="117763"/>
              <wp:effectExtent l="0" t="0" r="1905" b="0"/>
              <wp:wrapNone/>
              <wp:docPr id="455113272" name="Rectangle 1"/>
              <wp:cNvGraphicFramePr/>
              <a:graphic xmlns:a="http://schemas.openxmlformats.org/drawingml/2006/main">
                <a:graphicData uri="http://schemas.microsoft.com/office/word/2010/wordprocessingShape">
                  <wps:wsp>
                    <wps:cNvSpPr/>
                    <wps:spPr>
                      <a:xfrm>
                        <a:off x="0" y="0"/>
                        <a:ext cx="7904425" cy="117763"/>
                      </a:xfrm>
                      <a:prstGeom prst="rect">
                        <a:avLst/>
                      </a:prstGeom>
                      <a:solidFill>
                        <a:srgbClr val="0023C8"/>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rsidRPr="0080005D" w:rsidR="005241F1" w:rsidP="005241F1" w:rsidRDefault="005241F1" w14:paraId="4AA413B9" w14:textId="77777777">
                          <w:pPr>
                            <w:jc w:val="center"/>
                            <w:rPr>
                              <w:rFonts w:ascii="Poppins" w:hAnsi="Poppins" w:cs="Poppins"/>
                            </w:rPr>
                          </w:pPr>
                        </w:p>
                      </w:txbxContent>
                    </wps:txbx>
                    <wps:bodyPr rot="0" spcFirstLastPara="0" vertOverflow="overflow" horzOverflow="overflow" vert="horz" wrap="square" lIns="0" tIns="72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3FDF3B">
            <v:rect id="_x0000_s1033" style="position:absolute;margin-left:-3.8pt;margin-top:-38.7pt;width:622.4pt;height:9.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fillcolor="#0023c8" stroked="f" strokeweight="2pt" w14:anchorId="1985034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">
              <v:textbox inset="0,2mm,0,0">
                <w:txbxContent>
                  <w:p w:rsidRPr="0080005D" w:rsidR="005241F1" w:rsidP="005241F1" w:rsidRDefault="005241F1" w14:paraId="02EB378F" w14:textId="77777777">
                    <w:pPr>
                      <w:jc w:val="center"/>
                      <w:rPr>
                        <w:rFonts w:ascii="Poppins" w:hAnsi="Poppins" w:cs="Poppins"/>
                      </w:rPr>
                    </w:pPr>
                  </w:p>
                </w:txbxContent>
              </v:textbox>
              <w10:wrap anchorx="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8C736A" w:rsidRDefault="009A169B" w14:paraId="1F8A659F" w14:textId="6A37B93A">
    <w:pPr>
      <w:pStyle w:val="Header"/>
    </w:pPr>
    <w:r>
      <w:rPr>
        <w:rFonts w:ascii="Poppins" w:hAnsi="Poppins" w:cs="Poppins"/>
        <w:noProof/>
      </w:rPr>
      <mc:AlternateContent>
        <mc:Choice Requires="wps">
          <w:drawing>
            <wp:anchor distT="0" distB="0" distL="0" distR="0" simplePos="0" relativeHeight="251662336" behindDoc="0" locked="0" layoutInCell="1" allowOverlap="1" wp14:anchorId="76C9D81C" wp14:editId="2957AF64">
              <wp:simplePos x="635" y="635"/>
              <wp:positionH relativeFrom="page">
                <wp:align>center</wp:align>
              </wp:positionH>
              <wp:positionV relativeFrom="page">
                <wp:align>top</wp:align>
              </wp:positionV>
              <wp:extent cx="424180" cy="368935"/>
              <wp:effectExtent l="0" t="0" r="7620" b="12065"/>
              <wp:wrapNone/>
              <wp:docPr id="1662749967" name="Text Box 10" descr="Intern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24180" cy="368935"/>
                      </a:xfrm>
                      <a:prstGeom prst="rect">
                        <a:avLst/>
                      </a:prstGeom>
                      <a:noFill/>
                      <a:ln>
                        <a:noFill/>
                      </a:ln>
                    </wps:spPr>
                    <wps:txbx>
                      <w:txbxContent>
                        <w:p w:rsidRPr="009A169B" w:rsidR="009A169B" w:rsidP="009A169B" w:rsidRDefault="009A169B" w14:paraId="08631485" w14:textId="5C16E0FF">
                          <w:pPr>
                            <w:spacing w:after="0"/>
                            <w:rPr>
                              <w:rFonts w:ascii="Aptos" w:hAnsi="Aptos" w:eastAsia="Aptos" w:cs="Aptos"/>
                              <w:noProof/>
                              <w:color w:val="4A569E"/>
                              <w:sz w:val="20"/>
                              <w:szCs w:val="20"/>
                            </w:rPr>
                          </w:pPr>
                          <w:r w:rsidRPr="009A169B">
                            <w:rPr>
                              <w:rFonts w:ascii="Aptos" w:hAnsi="Aptos" w:eastAsia="Aptos" w:cs="Aptos"/>
                              <w:noProof/>
                              <w:color w:val="4A569E"/>
                              <w:sz w:val="20"/>
                              <w:szCs w:val="20"/>
                            </w:rPr>
                            <w:t>Internal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w14:anchorId="368FFA3A">
            <v:shapetype id="_x0000_t202" coordsize="21600,21600" o:spt="202" path="m,l,21600r21600,l21600,xe" w14:anchorId="76C9D81C">
              <v:stroke joinstyle="miter"/>
              <v:path gradientshapeok="t" o:connecttype="rect"/>
            </v:shapetype>
            <v:shape id="Text Box 10" style="position:absolute;margin-left:0;margin-top:0;width:33.4pt;height:29.05pt;z-index:251662336;visibility:visible;mso-wrap-style:none;mso-wrap-distance-left:0;mso-wrap-distance-top:0;mso-wrap-distance-right:0;mso-wrap-distance-bottom:0;mso-position-horizontal:center;mso-position-horizontal-relative:page;mso-position-vertical:top;mso-position-vertical-relative:page;v-text-anchor:top" alt="Internal" o:spid="_x0000_s1035" filled="f"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">
              <v:fill o:detectmouseclick="t"/>
              <v:textbox style="mso-fit-shape-to-text:t" inset="0,15pt,0,0">
                <w:txbxContent>
                  <w:p w:rsidRPr="009A169B" w:rsidR="009A169B" w:rsidP="009A169B" w:rsidRDefault="009A169B" w14:paraId="7A2EC13D" w14:textId="5C16E0FF">
                    <w:pPr>
                      <w:spacing w:after="0"/>
                      <w:rPr>
                        <w:rFonts w:ascii="Aptos" w:hAnsi="Aptos" w:eastAsia="Aptos" w:cs="Aptos"/>
                        <w:noProof/>
                        <w:color w:val="4A569E"/>
                        <w:sz w:val="20"/>
                        <w:szCs w:val="20"/>
                      </w:rPr>
                    </w:pPr>
                    <w:r w:rsidRPr="009A169B">
                      <w:rPr>
                        <w:rFonts w:ascii="Aptos" w:hAnsi="Aptos" w:eastAsia="Aptos" w:cs="Aptos"/>
                        <w:noProof/>
                        <w:color w:val="4A569E"/>
                        <w:sz w:val="20"/>
                        <w:szCs w:val="20"/>
                      </w:rPr>
                      <w:t>Internal</w:t>
                    </w:r>
                  </w:p>
                </w:txbxContent>
              </v:textbox>
              <w10:wrap anchorx="page" anchory="page"/>
            </v:shape>
          </w:pict>
        </mc:Fallback>
      </mc:AlternateContent>
    </w:r>
    <w:r w:rsidRPr="00C43185" w:rsidR="008C736A">
      <w:rPr>
        <w:rFonts w:ascii="Poppins" w:hAnsi="Poppins" w:cs="Poppins"/>
        <w:noProof/>
        <w14:ligatures w14:val="standardContextual"/>
      </w:rPr>
      <mc:AlternateContent>
        <mc:Choice Requires="wps">
          <w:drawing>
            <wp:anchor distT="0" distB="0" distL="114300" distR="114300" simplePos="0" relativeHeight="251661312" behindDoc="1" locked="0" layoutInCell="1" allowOverlap="1" wp14:anchorId="7EE265D6" wp14:editId="6C4BC1A4">
              <wp:simplePos x="0" y="0"/>
              <wp:positionH relativeFrom="page">
                <wp:posOffset>-48260</wp:posOffset>
              </wp:positionH>
              <wp:positionV relativeFrom="paragraph">
                <wp:posOffset>-491490</wp:posOffset>
              </wp:positionV>
              <wp:extent cx="7904425" cy="117763"/>
              <wp:effectExtent l="0" t="0" r="1905" b="0"/>
              <wp:wrapNone/>
              <wp:docPr id="442755540" name="Rectangle 1"/>
              <wp:cNvGraphicFramePr/>
              <a:graphic xmlns:a="http://schemas.openxmlformats.org/drawingml/2006/main">
                <a:graphicData uri="http://schemas.microsoft.com/office/word/2010/wordprocessingShape">
                  <wps:wsp>
                    <wps:cNvSpPr/>
                    <wps:spPr>
                      <a:xfrm>
                        <a:off x="0" y="0"/>
                        <a:ext cx="7904425" cy="117763"/>
                      </a:xfrm>
                      <a:prstGeom prst="rect">
                        <a:avLst/>
                      </a:prstGeom>
                      <a:solidFill>
                        <a:srgbClr val="0023C8"/>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rsidRPr="0080005D" w:rsidR="008C736A" w:rsidP="005241F1" w:rsidRDefault="008C736A" w14:paraId="1D0EDAD3" w14:textId="77777777">
                          <w:pPr>
                            <w:jc w:val="center"/>
                            <w:rPr>
                              <w:rFonts w:ascii="Poppins" w:hAnsi="Poppins" w:cs="Poppins"/>
                            </w:rPr>
                          </w:pPr>
                        </w:p>
                      </w:txbxContent>
                    </wps:txbx>
                    <wps:bodyPr rot="0" spcFirstLastPara="0" vertOverflow="overflow" horzOverflow="overflow" vert="horz" wrap="square" lIns="0" tIns="7200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0AA8372">
            <v:rect id="_x0000_s1033" style="position:absolute;margin-left:-3.8pt;margin-top:-38.7pt;width:622.4pt;height:9.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fillcolor="#0023c8" stroked="f" strokeweight="2pt" w14:anchorId="7EE265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">
              <v:textbox inset="0,2mm,0,0">
                <w:txbxContent>
                  <w:p w:rsidRPr="0080005D" w:rsidR="008C736A" w:rsidP="005241F1" w:rsidRDefault="008C736A" w14:paraId="5DAB6C7B" w14:textId="77777777">
                    <w:pPr>
                      <w:jc w:val="center"/>
                      <w:rPr>
                        <w:rFonts w:ascii="Poppins" w:hAnsi="Poppins" w:cs="Poppins"/>
                      </w:rPr>
                    </w:pPr>
                  </w:p>
                </w:txbxContent>
              </v:textbox>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hint="default" w:ascii="Symbol" w:hAnsi="Symbol"/>
      </w:rPr>
    </w:lvl>
  </w:abstractNum>
  <w:abstractNum w:abstractNumId="3"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hint="default" w:ascii="Symbol" w:hAnsi="Symbol"/>
      </w:rPr>
    </w:lvl>
  </w:abstractNum>
  <w:abstractNum w:abstractNumId="4"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hint="default" w:ascii="Symbol" w:hAnsi="Symbol"/>
      </w:rPr>
    </w:lvl>
  </w:abstractNum>
  <w:abstractNum w:abstractNumId="6" w15:restartNumberingAfterBreak="0">
    <w:nsid w:val="05F12218"/>
    <w:multiLevelType w:val="multilevel"/>
    <w:tmpl w:val="1E3A0288"/>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68D06CF"/>
    <w:multiLevelType w:val="hybridMultilevel"/>
    <w:tmpl w:val="992EE1B4"/>
    <w:lvl w:ilvl="0" w:tplc="48B01AB0">
      <w:start w:val="1"/>
      <w:numFmt w:val="decimal"/>
      <w:lvlText w:val="%1."/>
      <w:lvlJc w:val="left"/>
      <w:pPr>
        <w:ind w:left="360" w:hanging="360"/>
      </w:pPr>
      <w:rPr>
        <w:rFonts w:ascii="Poppins" w:hAnsi="Poppins" w:cs="Poppins" w:eastAsiaTheme="minor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6B614AF"/>
    <w:multiLevelType w:val="hybridMultilevel"/>
    <w:tmpl w:val="F7C4BED2"/>
    <w:lvl w:ilvl="0" w:tplc="002E5C42">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07C00D8D"/>
    <w:multiLevelType w:val="hybridMultilevel"/>
    <w:tmpl w:val="09E2973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0E3D610A"/>
    <w:multiLevelType w:val="hybridMultilevel"/>
    <w:tmpl w:val="77C2B4FA"/>
    <w:lvl w:ilvl="0" w:tplc="91BEA892">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16AE36DE"/>
    <w:multiLevelType w:val="hybridMultilevel"/>
    <w:tmpl w:val="44DE55B4"/>
    <w:lvl w:ilvl="0" w:tplc="052EF2D4">
      <w:start w:val="1"/>
      <w:numFmt w:val="bullet"/>
      <w:lvlText w:val=""/>
      <w:lvlJc w:val="left"/>
      <w:pPr>
        <w:ind w:left="720" w:hanging="360"/>
      </w:pPr>
      <w:rPr>
        <w:rFonts w:hint="default" w:ascii="Symbol" w:hAnsi="Symbol"/>
        <w:color w:val="0023C8"/>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6E32D99"/>
    <w:multiLevelType w:val="hybridMultilevel"/>
    <w:tmpl w:val="97948CE2"/>
    <w:lvl w:ilvl="0" w:tplc="437081FE">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15:restartNumberingAfterBreak="0">
    <w:nsid w:val="176B0EFD"/>
    <w:multiLevelType w:val="hybridMultilevel"/>
    <w:tmpl w:val="A0C42366"/>
    <w:lvl w:ilvl="0" w:tplc="6FC41F3A">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19FC109B"/>
    <w:multiLevelType w:val="hybridMultilevel"/>
    <w:tmpl w:val="A99EAFBE"/>
    <w:lvl w:ilvl="0" w:tplc="052EF2D4">
      <w:start w:val="1"/>
      <w:numFmt w:val="bullet"/>
      <w:lvlText w:val=""/>
      <w:lvlJc w:val="left"/>
      <w:pPr>
        <w:ind w:left="360" w:hanging="360"/>
      </w:pPr>
      <w:rPr>
        <w:rFonts w:hint="default" w:ascii="Symbol" w:hAnsi="Symbol"/>
        <w:color w:val="0023C8"/>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5" w15:restartNumberingAfterBreak="0">
    <w:nsid w:val="1A945426"/>
    <w:multiLevelType w:val="hybridMultilevel"/>
    <w:tmpl w:val="7F58B61C"/>
    <w:lvl w:ilvl="0" w:tplc="D33C6292">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6" w15:restartNumberingAfterBreak="0">
    <w:nsid w:val="1C326F5F"/>
    <w:multiLevelType w:val="multilevel"/>
    <w:tmpl w:val="F140E248"/>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CB44BAF"/>
    <w:multiLevelType w:val="hybridMultilevel"/>
    <w:tmpl w:val="CCA21DE2"/>
    <w:lvl w:ilvl="0" w:tplc="DA2EBA92">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8" w15:restartNumberingAfterBreak="0">
    <w:nsid w:val="1DAC0604"/>
    <w:multiLevelType w:val="multilevel"/>
    <w:tmpl w:val="04628A74"/>
    <w:lvl w:ilvl="0">
      <w:start w:val="4"/>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F33100D"/>
    <w:multiLevelType w:val="hybridMultilevel"/>
    <w:tmpl w:val="90186A76"/>
    <w:lvl w:ilvl="0" w:tplc="64740B66">
      <w:start w:val="1"/>
      <w:numFmt w:val="bullet"/>
      <w:lvlText w:val=""/>
      <w:lvlJc w:val="left"/>
      <w:pPr>
        <w:ind w:left="360" w:hanging="360"/>
      </w:pPr>
      <w:rPr>
        <w:rFonts w:hint="default" w:ascii="Symbol" w:hAnsi="Symbol"/>
        <w:color w:val="0023C8"/>
      </w:rPr>
    </w:lvl>
    <w:lvl w:ilvl="1" w:tplc="AF469EB8">
      <w:start w:val="1"/>
      <w:numFmt w:val="bullet"/>
      <w:lvlText w:val="o"/>
      <w:lvlJc w:val="left"/>
      <w:pPr>
        <w:ind w:left="1080" w:hanging="360"/>
      </w:pPr>
      <w:rPr>
        <w:rFonts w:hint="default" w:ascii="Courier New" w:hAnsi="Courier New" w:cs="Courier New"/>
        <w:color w:val="0023C8"/>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21875EF0"/>
    <w:multiLevelType w:val="multilevel"/>
    <w:tmpl w:val="B2EEF18E"/>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231E6C88"/>
    <w:multiLevelType w:val="multilevel"/>
    <w:tmpl w:val="2D6ACB0C"/>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3536EA5"/>
    <w:multiLevelType w:val="hybridMultilevel"/>
    <w:tmpl w:val="EA7E7504"/>
    <w:lvl w:ilvl="0" w:tplc="04090001">
      <w:start w:val="1"/>
      <w:numFmt w:val="bullet"/>
      <w:lvlText w:val=""/>
      <w:lvlJc w:val="left"/>
      <w:pPr>
        <w:ind w:left="780" w:hanging="360"/>
      </w:pPr>
      <w:rPr>
        <w:rFonts w:hint="default" w:ascii="Symbol" w:hAnsi="Symbol"/>
      </w:rPr>
    </w:lvl>
    <w:lvl w:ilvl="1" w:tplc="04090003" w:tentative="1">
      <w:start w:val="1"/>
      <w:numFmt w:val="bullet"/>
      <w:lvlText w:val="o"/>
      <w:lvlJc w:val="left"/>
      <w:pPr>
        <w:ind w:left="1500" w:hanging="360"/>
      </w:pPr>
      <w:rPr>
        <w:rFonts w:hint="default" w:ascii="Courier New" w:hAnsi="Courier New" w:cs="Courier New"/>
      </w:rPr>
    </w:lvl>
    <w:lvl w:ilvl="2" w:tplc="04090005" w:tentative="1">
      <w:start w:val="1"/>
      <w:numFmt w:val="bullet"/>
      <w:lvlText w:val=""/>
      <w:lvlJc w:val="left"/>
      <w:pPr>
        <w:ind w:left="2220" w:hanging="360"/>
      </w:pPr>
      <w:rPr>
        <w:rFonts w:hint="default" w:ascii="Wingdings" w:hAnsi="Wingdings"/>
      </w:rPr>
    </w:lvl>
    <w:lvl w:ilvl="3" w:tplc="04090001" w:tentative="1">
      <w:start w:val="1"/>
      <w:numFmt w:val="bullet"/>
      <w:lvlText w:val=""/>
      <w:lvlJc w:val="left"/>
      <w:pPr>
        <w:ind w:left="2940" w:hanging="360"/>
      </w:pPr>
      <w:rPr>
        <w:rFonts w:hint="default" w:ascii="Symbol" w:hAnsi="Symbol"/>
      </w:rPr>
    </w:lvl>
    <w:lvl w:ilvl="4" w:tplc="04090003" w:tentative="1">
      <w:start w:val="1"/>
      <w:numFmt w:val="bullet"/>
      <w:lvlText w:val="o"/>
      <w:lvlJc w:val="left"/>
      <w:pPr>
        <w:ind w:left="3660" w:hanging="360"/>
      </w:pPr>
      <w:rPr>
        <w:rFonts w:hint="default" w:ascii="Courier New" w:hAnsi="Courier New" w:cs="Courier New"/>
      </w:rPr>
    </w:lvl>
    <w:lvl w:ilvl="5" w:tplc="04090005" w:tentative="1">
      <w:start w:val="1"/>
      <w:numFmt w:val="bullet"/>
      <w:lvlText w:val=""/>
      <w:lvlJc w:val="left"/>
      <w:pPr>
        <w:ind w:left="4380" w:hanging="360"/>
      </w:pPr>
      <w:rPr>
        <w:rFonts w:hint="default" w:ascii="Wingdings" w:hAnsi="Wingdings"/>
      </w:rPr>
    </w:lvl>
    <w:lvl w:ilvl="6" w:tplc="04090001" w:tentative="1">
      <w:start w:val="1"/>
      <w:numFmt w:val="bullet"/>
      <w:lvlText w:val=""/>
      <w:lvlJc w:val="left"/>
      <w:pPr>
        <w:ind w:left="5100" w:hanging="360"/>
      </w:pPr>
      <w:rPr>
        <w:rFonts w:hint="default" w:ascii="Symbol" w:hAnsi="Symbol"/>
      </w:rPr>
    </w:lvl>
    <w:lvl w:ilvl="7" w:tplc="04090003" w:tentative="1">
      <w:start w:val="1"/>
      <w:numFmt w:val="bullet"/>
      <w:lvlText w:val="o"/>
      <w:lvlJc w:val="left"/>
      <w:pPr>
        <w:ind w:left="5820" w:hanging="360"/>
      </w:pPr>
      <w:rPr>
        <w:rFonts w:hint="default" w:ascii="Courier New" w:hAnsi="Courier New" w:cs="Courier New"/>
      </w:rPr>
    </w:lvl>
    <w:lvl w:ilvl="8" w:tplc="04090005" w:tentative="1">
      <w:start w:val="1"/>
      <w:numFmt w:val="bullet"/>
      <w:lvlText w:val=""/>
      <w:lvlJc w:val="left"/>
      <w:pPr>
        <w:ind w:left="6540" w:hanging="360"/>
      </w:pPr>
      <w:rPr>
        <w:rFonts w:hint="default" w:ascii="Wingdings" w:hAnsi="Wingdings"/>
      </w:rPr>
    </w:lvl>
  </w:abstractNum>
  <w:abstractNum w:abstractNumId="23" w15:restartNumberingAfterBreak="0">
    <w:nsid w:val="235A6B65"/>
    <w:multiLevelType w:val="hybridMultilevel"/>
    <w:tmpl w:val="F560E7D6"/>
    <w:lvl w:ilvl="0" w:tplc="8202218C">
      <w:start w:val="1"/>
      <w:numFmt w:val="bullet"/>
      <w:lvlText w:val=""/>
      <w:lvlJc w:val="left"/>
      <w:pPr>
        <w:ind w:left="360" w:hanging="360"/>
      </w:pPr>
      <w:rPr>
        <w:rFonts w:hint="default" w:ascii="Symbol" w:hAnsi="Symbol"/>
        <w:color w:val="0023C8"/>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4" w15:restartNumberingAfterBreak="0">
    <w:nsid w:val="243540CE"/>
    <w:multiLevelType w:val="hybridMultilevel"/>
    <w:tmpl w:val="28DE3032"/>
    <w:lvl w:ilvl="0" w:tplc="61B01F18">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5" w15:restartNumberingAfterBreak="0">
    <w:nsid w:val="27134062"/>
    <w:multiLevelType w:val="hybridMultilevel"/>
    <w:tmpl w:val="96C45D3E"/>
    <w:lvl w:ilvl="0" w:tplc="FFFFFFFF">
      <w:start w:val="1"/>
      <w:numFmt w:val="bullet"/>
      <w:lvlText w:val=""/>
      <w:lvlJc w:val="left"/>
      <w:pPr>
        <w:ind w:left="720" w:hanging="360"/>
      </w:pPr>
      <w:rPr>
        <w:rFonts w:hint="default" w:ascii="Symbol" w:hAnsi="Symbol"/>
        <w:color w:val="0023C8"/>
      </w:rPr>
    </w:lvl>
    <w:lvl w:ilvl="1" w:tplc="052EF2D4">
      <w:start w:val="1"/>
      <w:numFmt w:val="bullet"/>
      <w:lvlText w:val=""/>
      <w:lvlJc w:val="left"/>
      <w:pPr>
        <w:ind w:left="720" w:hanging="360"/>
      </w:pPr>
      <w:rPr>
        <w:rFonts w:hint="default" w:ascii="Symbol" w:hAnsi="Symbol"/>
        <w:color w:val="0023C8"/>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6" w15:restartNumberingAfterBreak="0">
    <w:nsid w:val="2D83486D"/>
    <w:multiLevelType w:val="hybridMultilevel"/>
    <w:tmpl w:val="37A62BEE"/>
    <w:lvl w:ilvl="0" w:tplc="A288BD9A">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7" w15:restartNumberingAfterBreak="0">
    <w:nsid w:val="312E738F"/>
    <w:multiLevelType w:val="hybridMultilevel"/>
    <w:tmpl w:val="E8A83C58"/>
    <w:lvl w:ilvl="0" w:tplc="08090003">
      <w:start w:val="1"/>
      <w:numFmt w:val="bullet"/>
      <w:lvlText w:val="o"/>
      <w:lvlJc w:val="left"/>
      <w:pPr>
        <w:ind w:left="1440" w:hanging="360"/>
      </w:pPr>
      <w:rPr>
        <w:rFonts w:hint="default" w:ascii="Courier New" w:hAnsi="Courier New" w:cs="Courier New"/>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8" w15:restartNumberingAfterBreak="0">
    <w:nsid w:val="322B67E1"/>
    <w:multiLevelType w:val="hybridMultilevel"/>
    <w:tmpl w:val="8A1278AC"/>
    <w:lvl w:ilvl="0" w:tplc="CCC0727A">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9" w15:restartNumberingAfterBreak="0">
    <w:nsid w:val="33BE345F"/>
    <w:multiLevelType w:val="hybridMultilevel"/>
    <w:tmpl w:val="FB50BB38"/>
    <w:lvl w:ilvl="0" w:tplc="D564FF8A">
      <w:start w:val="1"/>
      <w:numFmt w:val="bullet"/>
      <w:lvlText w:val=""/>
      <w:lvlJc w:val="left"/>
      <w:pPr>
        <w:ind w:left="765" w:hanging="360"/>
      </w:pPr>
      <w:rPr>
        <w:rFonts w:hint="default" w:ascii="Symbol" w:hAnsi="Symbol"/>
        <w:color w:val="0023C8"/>
      </w:rPr>
    </w:lvl>
    <w:lvl w:ilvl="1" w:tplc="04090003" w:tentative="1">
      <w:start w:val="1"/>
      <w:numFmt w:val="bullet"/>
      <w:lvlText w:val="o"/>
      <w:lvlJc w:val="left"/>
      <w:pPr>
        <w:ind w:left="1485" w:hanging="360"/>
      </w:pPr>
      <w:rPr>
        <w:rFonts w:hint="default" w:ascii="Courier New" w:hAnsi="Courier New" w:cs="Courier New"/>
      </w:rPr>
    </w:lvl>
    <w:lvl w:ilvl="2" w:tplc="04090005" w:tentative="1">
      <w:start w:val="1"/>
      <w:numFmt w:val="bullet"/>
      <w:lvlText w:val=""/>
      <w:lvlJc w:val="left"/>
      <w:pPr>
        <w:ind w:left="2205" w:hanging="360"/>
      </w:pPr>
      <w:rPr>
        <w:rFonts w:hint="default" w:ascii="Wingdings" w:hAnsi="Wingdings"/>
      </w:rPr>
    </w:lvl>
    <w:lvl w:ilvl="3" w:tplc="04090001" w:tentative="1">
      <w:start w:val="1"/>
      <w:numFmt w:val="bullet"/>
      <w:lvlText w:val=""/>
      <w:lvlJc w:val="left"/>
      <w:pPr>
        <w:ind w:left="2925" w:hanging="360"/>
      </w:pPr>
      <w:rPr>
        <w:rFonts w:hint="default" w:ascii="Symbol" w:hAnsi="Symbol"/>
      </w:rPr>
    </w:lvl>
    <w:lvl w:ilvl="4" w:tplc="04090003" w:tentative="1">
      <w:start w:val="1"/>
      <w:numFmt w:val="bullet"/>
      <w:lvlText w:val="o"/>
      <w:lvlJc w:val="left"/>
      <w:pPr>
        <w:ind w:left="3645" w:hanging="360"/>
      </w:pPr>
      <w:rPr>
        <w:rFonts w:hint="default" w:ascii="Courier New" w:hAnsi="Courier New" w:cs="Courier New"/>
      </w:rPr>
    </w:lvl>
    <w:lvl w:ilvl="5" w:tplc="04090005" w:tentative="1">
      <w:start w:val="1"/>
      <w:numFmt w:val="bullet"/>
      <w:lvlText w:val=""/>
      <w:lvlJc w:val="left"/>
      <w:pPr>
        <w:ind w:left="4365" w:hanging="360"/>
      </w:pPr>
      <w:rPr>
        <w:rFonts w:hint="default" w:ascii="Wingdings" w:hAnsi="Wingdings"/>
      </w:rPr>
    </w:lvl>
    <w:lvl w:ilvl="6" w:tplc="04090001" w:tentative="1">
      <w:start w:val="1"/>
      <w:numFmt w:val="bullet"/>
      <w:lvlText w:val=""/>
      <w:lvlJc w:val="left"/>
      <w:pPr>
        <w:ind w:left="5085" w:hanging="360"/>
      </w:pPr>
      <w:rPr>
        <w:rFonts w:hint="default" w:ascii="Symbol" w:hAnsi="Symbol"/>
      </w:rPr>
    </w:lvl>
    <w:lvl w:ilvl="7" w:tplc="04090003" w:tentative="1">
      <w:start w:val="1"/>
      <w:numFmt w:val="bullet"/>
      <w:lvlText w:val="o"/>
      <w:lvlJc w:val="left"/>
      <w:pPr>
        <w:ind w:left="5805" w:hanging="360"/>
      </w:pPr>
      <w:rPr>
        <w:rFonts w:hint="default" w:ascii="Courier New" w:hAnsi="Courier New" w:cs="Courier New"/>
      </w:rPr>
    </w:lvl>
    <w:lvl w:ilvl="8" w:tplc="04090005" w:tentative="1">
      <w:start w:val="1"/>
      <w:numFmt w:val="bullet"/>
      <w:lvlText w:val=""/>
      <w:lvlJc w:val="left"/>
      <w:pPr>
        <w:ind w:left="6525" w:hanging="360"/>
      </w:pPr>
      <w:rPr>
        <w:rFonts w:hint="default" w:ascii="Wingdings" w:hAnsi="Wingdings"/>
      </w:rPr>
    </w:lvl>
  </w:abstractNum>
  <w:abstractNum w:abstractNumId="30" w15:restartNumberingAfterBreak="0">
    <w:nsid w:val="384D10C0"/>
    <w:multiLevelType w:val="hybridMultilevel"/>
    <w:tmpl w:val="06C04948"/>
    <w:lvl w:ilvl="0" w:tplc="FFFFFFFF">
      <w:start w:val="1"/>
      <w:numFmt w:val="bullet"/>
      <w:lvlText w:val=""/>
      <w:lvlJc w:val="left"/>
      <w:pPr>
        <w:ind w:left="720" w:hanging="360"/>
      </w:pPr>
      <w:rPr>
        <w:rFonts w:hint="default" w:ascii="Symbol" w:hAnsi="Symbol"/>
        <w:color w:val="0023C8"/>
      </w:rPr>
    </w:lvl>
    <w:lvl w:ilvl="1" w:tplc="052EF2D4">
      <w:start w:val="1"/>
      <w:numFmt w:val="bullet"/>
      <w:lvlText w:val=""/>
      <w:lvlJc w:val="left"/>
      <w:pPr>
        <w:ind w:left="1440" w:hanging="360"/>
      </w:pPr>
      <w:rPr>
        <w:rFonts w:hint="default" w:ascii="Symbol" w:hAnsi="Symbol"/>
        <w:color w:val="0023C8"/>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1" w15:restartNumberingAfterBreak="0">
    <w:nsid w:val="3B421BB0"/>
    <w:multiLevelType w:val="hybridMultilevel"/>
    <w:tmpl w:val="04BC1450"/>
    <w:lvl w:ilvl="0" w:tplc="052EF2D4">
      <w:start w:val="1"/>
      <w:numFmt w:val="bullet"/>
      <w:lvlText w:val=""/>
      <w:lvlJc w:val="left"/>
      <w:pPr>
        <w:ind w:left="720" w:hanging="360"/>
      </w:pPr>
      <w:rPr>
        <w:rFonts w:hint="default" w:ascii="Symbol" w:hAnsi="Symbol"/>
        <w:color w:val="0023C8"/>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2" w15:restartNumberingAfterBreak="0">
    <w:nsid w:val="3CA838B6"/>
    <w:multiLevelType w:val="hybridMultilevel"/>
    <w:tmpl w:val="608AE334"/>
    <w:lvl w:ilvl="0" w:tplc="052EF2D4">
      <w:start w:val="1"/>
      <w:numFmt w:val="bullet"/>
      <w:lvlText w:val=""/>
      <w:lvlJc w:val="left"/>
      <w:pPr>
        <w:ind w:left="720" w:hanging="360"/>
      </w:pPr>
      <w:rPr>
        <w:rFonts w:hint="default" w:ascii="Symbol" w:hAnsi="Symbol"/>
        <w:color w:val="0023C8"/>
      </w:rPr>
    </w:lvl>
    <w:lvl w:ilvl="1" w:tplc="E10E77E4">
      <w:start w:val="1"/>
      <w:numFmt w:val="bullet"/>
      <w:lvlText w:val="o"/>
      <w:lvlJc w:val="left"/>
      <w:pPr>
        <w:ind w:left="1440" w:hanging="360"/>
      </w:pPr>
      <w:rPr>
        <w:rFonts w:hint="default" w:ascii="Courier New" w:hAnsi="Courier New" w:cs="Courier New"/>
        <w:color w:val="0023C8"/>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3E532F91"/>
    <w:multiLevelType w:val="hybridMultilevel"/>
    <w:tmpl w:val="798C4AD0"/>
    <w:lvl w:ilvl="0" w:tplc="713209A8">
      <w:start w:val="1"/>
      <w:numFmt w:val="bullet"/>
      <w:lvlText w:val=""/>
      <w:lvlJc w:val="left"/>
      <w:pPr>
        <w:ind w:left="720" w:hanging="360"/>
      </w:pPr>
      <w:rPr>
        <w:rFonts w:hint="default" w:ascii="Symbol" w:hAnsi="Symbol"/>
        <w:color w:val="0023C8"/>
      </w:rPr>
    </w:lvl>
    <w:lvl w:ilvl="1" w:tplc="C82248C0">
      <w:numFmt w:val="bullet"/>
      <w:lvlText w:val="•"/>
      <w:lvlJc w:val="left"/>
      <w:pPr>
        <w:ind w:left="1440" w:hanging="360"/>
      </w:pPr>
      <w:rPr>
        <w:rFonts w:hint="default" w:ascii="Poppins" w:hAnsi="Poppins" w:cs="Poppins" w:eastAsiaTheme="minorEastAsia"/>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4" w15:restartNumberingAfterBreak="0">
    <w:nsid w:val="3F0B47A3"/>
    <w:multiLevelType w:val="hybridMultilevel"/>
    <w:tmpl w:val="0BFAF80C"/>
    <w:lvl w:ilvl="0" w:tplc="052EF2D4">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5" w15:restartNumberingAfterBreak="0">
    <w:nsid w:val="3F987750"/>
    <w:multiLevelType w:val="hybridMultilevel"/>
    <w:tmpl w:val="3D44B048"/>
    <w:lvl w:ilvl="0" w:tplc="FFFFFFFF">
      <w:start w:val="1"/>
      <w:numFmt w:val="bullet"/>
      <w:lvlText w:val=""/>
      <w:lvlJc w:val="left"/>
      <w:pPr>
        <w:ind w:left="720" w:hanging="360"/>
      </w:pPr>
      <w:rPr>
        <w:rFonts w:hint="default" w:ascii="Symbol" w:hAnsi="Symbol"/>
        <w:color w:val="0023C8"/>
      </w:rPr>
    </w:lvl>
    <w:lvl w:ilvl="1" w:tplc="052EF2D4">
      <w:start w:val="1"/>
      <w:numFmt w:val="bullet"/>
      <w:lvlText w:val=""/>
      <w:lvlJc w:val="left"/>
      <w:pPr>
        <w:ind w:left="720" w:hanging="360"/>
      </w:pPr>
      <w:rPr>
        <w:rFonts w:hint="default" w:ascii="Symbol" w:hAnsi="Symbol"/>
        <w:color w:val="0023C8"/>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6" w15:restartNumberingAfterBreak="0">
    <w:nsid w:val="3FD108A9"/>
    <w:multiLevelType w:val="hybridMultilevel"/>
    <w:tmpl w:val="6FA2385C"/>
    <w:lvl w:ilvl="0" w:tplc="ABA8BA6A">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7" w15:restartNumberingAfterBreak="0">
    <w:nsid w:val="40F53372"/>
    <w:multiLevelType w:val="hybridMultilevel"/>
    <w:tmpl w:val="D7986170"/>
    <w:lvl w:ilvl="0" w:tplc="65887EEA">
      <w:start w:val="1"/>
      <w:numFmt w:val="bullet"/>
      <w:lvlText w:val=""/>
      <w:lvlJc w:val="left"/>
      <w:pPr>
        <w:ind w:left="720" w:hanging="360"/>
      </w:pPr>
      <w:rPr>
        <w:rFonts w:hint="default" w:ascii="Symbol" w:hAnsi="Symbol"/>
        <w:color w:val="0023C8"/>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8" w15:restartNumberingAfterBreak="0">
    <w:nsid w:val="42DE7F6F"/>
    <w:multiLevelType w:val="hybridMultilevel"/>
    <w:tmpl w:val="EF8C6EB8"/>
    <w:lvl w:ilvl="0" w:tplc="23640666">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9" w15:restartNumberingAfterBreak="0">
    <w:nsid w:val="435F65B6"/>
    <w:multiLevelType w:val="hybridMultilevel"/>
    <w:tmpl w:val="9798109A"/>
    <w:lvl w:ilvl="0" w:tplc="052EF2D4">
      <w:start w:val="1"/>
      <w:numFmt w:val="bullet"/>
      <w:lvlText w:val=""/>
      <w:lvlJc w:val="left"/>
      <w:pPr>
        <w:ind w:left="720" w:hanging="360"/>
      </w:pPr>
      <w:rPr>
        <w:rFonts w:hint="default" w:ascii="Symbol" w:hAnsi="Symbol"/>
        <w:color w:val="0023C8"/>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0" w15:restartNumberingAfterBreak="0">
    <w:nsid w:val="4901675A"/>
    <w:multiLevelType w:val="hybridMultilevel"/>
    <w:tmpl w:val="BB1CC330"/>
    <w:lvl w:ilvl="0" w:tplc="810871A2">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1" w15:restartNumberingAfterBreak="0">
    <w:nsid w:val="4ECB7B8E"/>
    <w:multiLevelType w:val="hybridMultilevel"/>
    <w:tmpl w:val="F61ACDBA"/>
    <w:lvl w:ilvl="0" w:tplc="58307A5C">
      <w:start w:val="1"/>
      <w:numFmt w:val="bullet"/>
      <w:lvlText w:val=""/>
      <w:lvlJc w:val="left"/>
      <w:pPr>
        <w:ind w:left="360" w:hanging="360"/>
      </w:pPr>
      <w:rPr>
        <w:rFonts w:hint="default" w:ascii="Symbol" w:hAnsi="Symbol"/>
        <w:color w:val="0023C8"/>
      </w:rPr>
    </w:lvl>
    <w:lvl w:ilvl="1" w:tplc="0A9663F0">
      <w:start w:val="1"/>
      <w:numFmt w:val="bullet"/>
      <w:lvlText w:val="o"/>
      <w:lvlJc w:val="left"/>
      <w:pPr>
        <w:ind w:left="1080" w:hanging="360"/>
      </w:pPr>
      <w:rPr>
        <w:rFonts w:hint="default" w:ascii="Courier New" w:hAnsi="Courier New" w:cs="Courier New"/>
        <w:color w:val="0023C8"/>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42" w15:restartNumberingAfterBreak="0">
    <w:nsid w:val="51E34476"/>
    <w:multiLevelType w:val="multilevel"/>
    <w:tmpl w:val="3F8C61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31B6BF6"/>
    <w:multiLevelType w:val="hybridMultilevel"/>
    <w:tmpl w:val="1BF2757A"/>
    <w:lvl w:ilvl="0" w:tplc="351C00CA">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4" w15:restartNumberingAfterBreak="0">
    <w:nsid w:val="584D4280"/>
    <w:multiLevelType w:val="hybridMultilevel"/>
    <w:tmpl w:val="F0A46E4E"/>
    <w:lvl w:ilvl="0" w:tplc="3378E872">
      <w:start w:val="1"/>
      <w:numFmt w:val="bullet"/>
      <w:lvlText w:val=""/>
      <w:lvlJc w:val="left"/>
      <w:pPr>
        <w:ind w:left="720" w:hanging="360"/>
      </w:pPr>
      <w:rPr>
        <w:rFonts w:hint="default" w:ascii="Symbol" w:hAnsi="Symbol"/>
        <w:color w:val="0023C8"/>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5" w15:restartNumberingAfterBreak="0">
    <w:nsid w:val="5D64003E"/>
    <w:multiLevelType w:val="hybridMultilevel"/>
    <w:tmpl w:val="0B80749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46" w15:restartNumberingAfterBreak="0">
    <w:nsid w:val="600574F7"/>
    <w:multiLevelType w:val="hybridMultilevel"/>
    <w:tmpl w:val="D13A4656"/>
    <w:lvl w:ilvl="0" w:tplc="167E2192">
      <w:start w:val="1"/>
      <w:numFmt w:val="bullet"/>
      <w:lvlText w:val=""/>
      <w:lvlJc w:val="left"/>
      <w:pPr>
        <w:ind w:left="720" w:hanging="360"/>
      </w:pPr>
      <w:rPr>
        <w:rFonts w:hint="default" w:ascii="Symbol" w:hAnsi="Symbol"/>
        <w:color w:val="0023C8"/>
      </w:rPr>
    </w:lvl>
    <w:lvl w:ilvl="1" w:tplc="BBA89C46">
      <w:start w:val="1"/>
      <w:numFmt w:val="bullet"/>
      <w:lvlText w:val="o"/>
      <w:lvlJc w:val="left"/>
      <w:pPr>
        <w:ind w:left="1440" w:hanging="360"/>
      </w:pPr>
      <w:rPr>
        <w:rFonts w:hint="default" w:ascii="Courier New" w:hAnsi="Courier New" w:cs="Courier New"/>
        <w:color w:val="0023C8"/>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7" w15:restartNumberingAfterBreak="0">
    <w:nsid w:val="64014E84"/>
    <w:multiLevelType w:val="hybridMultilevel"/>
    <w:tmpl w:val="41E44EB6"/>
    <w:lvl w:ilvl="0" w:tplc="24D67F58">
      <w:start w:val="1"/>
      <w:numFmt w:val="bullet"/>
      <w:lvlText w:val=""/>
      <w:lvlJc w:val="left"/>
      <w:pPr>
        <w:ind w:left="360" w:hanging="360"/>
      </w:pPr>
      <w:rPr>
        <w:rFonts w:hint="default" w:ascii="Symbol" w:hAnsi="Symbol"/>
        <w:color w:val="0023C8"/>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48" w15:restartNumberingAfterBreak="0">
    <w:nsid w:val="64E20D9D"/>
    <w:multiLevelType w:val="hybridMultilevel"/>
    <w:tmpl w:val="D74879A8"/>
    <w:lvl w:ilvl="0" w:tplc="A9FE1A3A">
      <w:start w:val="1"/>
      <w:numFmt w:val="bullet"/>
      <w:lvlText w:val=""/>
      <w:lvlJc w:val="left"/>
      <w:pPr>
        <w:ind w:left="720" w:hanging="360"/>
      </w:pPr>
      <w:rPr>
        <w:rFonts w:hint="default" w:ascii="Symbol" w:hAnsi="Symbol"/>
        <w:color w:val="0023C8"/>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9" w15:restartNumberingAfterBreak="0">
    <w:nsid w:val="677F4FC5"/>
    <w:multiLevelType w:val="hybridMultilevel"/>
    <w:tmpl w:val="2EB423A0"/>
    <w:lvl w:ilvl="0" w:tplc="FFB2F6A8">
      <w:start w:val="1"/>
      <w:numFmt w:val="bullet"/>
      <w:lvlText w:val=""/>
      <w:lvlJc w:val="left"/>
      <w:pPr>
        <w:ind w:left="767" w:hanging="360"/>
      </w:pPr>
      <w:rPr>
        <w:rFonts w:hint="default" w:ascii="Symbol" w:hAnsi="Symbol"/>
        <w:color w:val="0023C8"/>
      </w:rPr>
    </w:lvl>
    <w:lvl w:ilvl="1" w:tplc="04090003" w:tentative="1">
      <w:start w:val="1"/>
      <w:numFmt w:val="bullet"/>
      <w:lvlText w:val="o"/>
      <w:lvlJc w:val="left"/>
      <w:pPr>
        <w:ind w:left="1487" w:hanging="360"/>
      </w:pPr>
      <w:rPr>
        <w:rFonts w:hint="default" w:ascii="Courier New" w:hAnsi="Courier New" w:cs="Courier New"/>
      </w:rPr>
    </w:lvl>
    <w:lvl w:ilvl="2" w:tplc="04090005" w:tentative="1">
      <w:start w:val="1"/>
      <w:numFmt w:val="bullet"/>
      <w:lvlText w:val=""/>
      <w:lvlJc w:val="left"/>
      <w:pPr>
        <w:ind w:left="2207" w:hanging="360"/>
      </w:pPr>
      <w:rPr>
        <w:rFonts w:hint="default" w:ascii="Wingdings" w:hAnsi="Wingdings"/>
      </w:rPr>
    </w:lvl>
    <w:lvl w:ilvl="3" w:tplc="04090001" w:tentative="1">
      <w:start w:val="1"/>
      <w:numFmt w:val="bullet"/>
      <w:lvlText w:val=""/>
      <w:lvlJc w:val="left"/>
      <w:pPr>
        <w:ind w:left="2927" w:hanging="360"/>
      </w:pPr>
      <w:rPr>
        <w:rFonts w:hint="default" w:ascii="Symbol" w:hAnsi="Symbol"/>
      </w:rPr>
    </w:lvl>
    <w:lvl w:ilvl="4" w:tplc="04090003" w:tentative="1">
      <w:start w:val="1"/>
      <w:numFmt w:val="bullet"/>
      <w:lvlText w:val="o"/>
      <w:lvlJc w:val="left"/>
      <w:pPr>
        <w:ind w:left="3647" w:hanging="360"/>
      </w:pPr>
      <w:rPr>
        <w:rFonts w:hint="default" w:ascii="Courier New" w:hAnsi="Courier New" w:cs="Courier New"/>
      </w:rPr>
    </w:lvl>
    <w:lvl w:ilvl="5" w:tplc="04090005" w:tentative="1">
      <w:start w:val="1"/>
      <w:numFmt w:val="bullet"/>
      <w:lvlText w:val=""/>
      <w:lvlJc w:val="left"/>
      <w:pPr>
        <w:ind w:left="4367" w:hanging="360"/>
      </w:pPr>
      <w:rPr>
        <w:rFonts w:hint="default" w:ascii="Wingdings" w:hAnsi="Wingdings"/>
      </w:rPr>
    </w:lvl>
    <w:lvl w:ilvl="6" w:tplc="04090001" w:tentative="1">
      <w:start w:val="1"/>
      <w:numFmt w:val="bullet"/>
      <w:lvlText w:val=""/>
      <w:lvlJc w:val="left"/>
      <w:pPr>
        <w:ind w:left="5087" w:hanging="360"/>
      </w:pPr>
      <w:rPr>
        <w:rFonts w:hint="default" w:ascii="Symbol" w:hAnsi="Symbol"/>
      </w:rPr>
    </w:lvl>
    <w:lvl w:ilvl="7" w:tplc="04090003" w:tentative="1">
      <w:start w:val="1"/>
      <w:numFmt w:val="bullet"/>
      <w:lvlText w:val="o"/>
      <w:lvlJc w:val="left"/>
      <w:pPr>
        <w:ind w:left="5807" w:hanging="360"/>
      </w:pPr>
      <w:rPr>
        <w:rFonts w:hint="default" w:ascii="Courier New" w:hAnsi="Courier New" w:cs="Courier New"/>
      </w:rPr>
    </w:lvl>
    <w:lvl w:ilvl="8" w:tplc="04090005" w:tentative="1">
      <w:start w:val="1"/>
      <w:numFmt w:val="bullet"/>
      <w:lvlText w:val=""/>
      <w:lvlJc w:val="left"/>
      <w:pPr>
        <w:ind w:left="6527" w:hanging="360"/>
      </w:pPr>
      <w:rPr>
        <w:rFonts w:hint="default" w:ascii="Wingdings" w:hAnsi="Wingdings"/>
      </w:rPr>
    </w:lvl>
  </w:abstractNum>
  <w:abstractNum w:abstractNumId="50" w15:restartNumberingAfterBreak="0">
    <w:nsid w:val="6D4C58A0"/>
    <w:multiLevelType w:val="hybridMultilevel"/>
    <w:tmpl w:val="6E8C737C"/>
    <w:lvl w:ilvl="0" w:tplc="DA30EF50">
      <w:start w:val="1"/>
      <w:numFmt w:val="bullet"/>
      <w:lvlText w:val=""/>
      <w:lvlJc w:val="left"/>
      <w:pPr>
        <w:ind w:left="720" w:hanging="360"/>
      </w:pPr>
      <w:rPr>
        <w:rFonts w:hint="default" w:ascii="Symbol" w:hAnsi="Symbol"/>
        <w:color w:val="0023C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1" w15:restartNumberingAfterBreak="0">
    <w:nsid w:val="6F530E91"/>
    <w:multiLevelType w:val="hybridMultilevel"/>
    <w:tmpl w:val="65C013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5F32CCF"/>
    <w:multiLevelType w:val="multilevel"/>
    <w:tmpl w:val="9BEE8A42"/>
    <w:lvl w:ilvl="0">
      <w:start w:val="1"/>
      <w:numFmt w:val="bullet"/>
      <w:lvlText w:val=""/>
      <w:lvlJc w:val="left"/>
      <w:pPr>
        <w:tabs>
          <w:tab w:val="num" w:pos="720"/>
        </w:tabs>
        <w:ind w:left="720" w:hanging="360"/>
      </w:pPr>
      <w:rPr>
        <w:rFonts w:hint="default" w:ascii="Symbol" w:hAnsi="Symbol"/>
        <w:color w:val="0023C8"/>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3" w15:restartNumberingAfterBreak="0">
    <w:nsid w:val="76DD5B47"/>
    <w:multiLevelType w:val="multilevel"/>
    <w:tmpl w:val="34C28366"/>
    <w:lvl w:ilvl="0">
      <w:start w:val="1"/>
      <w:numFmt w:val="decimal"/>
      <w:lvlText w:val="%1."/>
      <w:lvlJc w:val="left"/>
      <w:pPr>
        <w:tabs>
          <w:tab w:val="num" w:pos="720"/>
        </w:tabs>
        <w:ind w:left="720" w:hanging="360"/>
      </w:pPr>
    </w:lvl>
    <w:lvl w:ilvl="1">
      <w:start w:val="1"/>
      <w:numFmt w:val="bullet"/>
      <w:lvlText w:val=""/>
      <w:lvlJc w:val="left"/>
      <w:pPr>
        <w:ind w:left="1440" w:hanging="360"/>
      </w:pPr>
      <w:rPr>
        <w:rFonts w:hint="default" w:ascii="Symbol" w:hAnsi="Symbol"/>
        <w:color w:val="0023C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F3851AB"/>
    <w:multiLevelType w:val="hybridMultilevel"/>
    <w:tmpl w:val="712064D8"/>
    <w:lvl w:ilvl="0" w:tplc="0CBE5060">
      <w:start w:val="1"/>
      <w:numFmt w:val="bullet"/>
      <w:lvlText w:val=""/>
      <w:lvlJc w:val="left"/>
      <w:pPr>
        <w:ind w:left="360" w:hanging="360"/>
      </w:pPr>
      <w:rPr>
        <w:rFonts w:hint="default" w:ascii="Symbol" w:hAnsi="Symbol"/>
        <w:color w:val="0023C8"/>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16cid:durableId="34695591">
    <w:abstractNumId w:val="5"/>
  </w:num>
  <w:num w:numId="2" w16cid:durableId="1282225579">
    <w:abstractNumId w:val="3"/>
  </w:num>
  <w:num w:numId="3" w16cid:durableId="836923977">
    <w:abstractNumId w:val="2"/>
  </w:num>
  <w:num w:numId="4" w16cid:durableId="529491798">
    <w:abstractNumId w:val="4"/>
  </w:num>
  <w:num w:numId="5" w16cid:durableId="952832550">
    <w:abstractNumId w:val="1"/>
  </w:num>
  <w:num w:numId="6" w16cid:durableId="261694645">
    <w:abstractNumId w:val="0"/>
  </w:num>
  <w:num w:numId="7" w16cid:durableId="1960605572">
    <w:abstractNumId w:val="32"/>
  </w:num>
  <w:num w:numId="8" w16cid:durableId="1777746652">
    <w:abstractNumId w:val="20"/>
  </w:num>
  <w:num w:numId="9" w16cid:durableId="535965384">
    <w:abstractNumId w:val="19"/>
  </w:num>
  <w:num w:numId="10" w16cid:durableId="953055392">
    <w:abstractNumId w:val="44"/>
  </w:num>
  <w:num w:numId="11" w16cid:durableId="374157025">
    <w:abstractNumId w:val="29"/>
  </w:num>
  <w:num w:numId="12" w16cid:durableId="1631354118">
    <w:abstractNumId w:val="42"/>
  </w:num>
  <w:num w:numId="13" w16cid:durableId="1920869066">
    <w:abstractNumId w:val="47"/>
  </w:num>
  <w:num w:numId="14" w16cid:durableId="2015955825">
    <w:abstractNumId w:val="24"/>
  </w:num>
  <w:num w:numId="15" w16cid:durableId="1265771076">
    <w:abstractNumId w:val="38"/>
  </w:num>
  <w:num w:numId="16" w16cid:durableId="1726954847">
    <w:abstractNumId w:val="28"/>
  </w:num>
  <w:num w:numId="17" w16cid:durableId="1391030138">
    <w:abstractNumId w:val="50"/>
  </w:num>
  <w:num w:numId="18" w16cid:durableId="940648442">
    <w:abstractNumId w:val="40"/>
  </w:num>
  <w:num w:numId="19" w16cid:durableId="379521815">
    <w:abstractNumId w:val="15"/>
  </w:num>
  <w:num w:numId="20" w16cid:durableId="389691225">
    <w:abstractNumId w:val="8"/>
  </w:num>
  <w:num w:numId="21" w16cid:durableId="2049867264">
    <w:abstractNumId w:val="12"/>
  </w:num>
  <w:num w:numId="22" w16cid:durableId="143863664">
    <w:abstractNumId w:val="13"/>
  </w:num>
  <w:num w:numId="23" w16cid:durableId="1207447044">
    <w:abstractNumId w:val="17"/>
  </w:num>
  <w:num w:numId="24" w16cid:durableId="892810385">
    <w:abstractNumId w:val="43"/>
  </w:num>
  <w:num w:numId="25" w16cid:durableId="526607004">
    <w:abstractNumId w:val="37"/>
  </w:num>
  <w:num w:numId="26" w16cid:durableId="376466931">
    <w:abstractNumId w:val="18"/>
  </w:num>
  <w:num w:numId="27" w16cid:durableId="1229421897">
    <w:abstractNumId w:val="23"/>
  </w:num>
  <w:num w:numId="28" w16cid:durableId="251820131">
    <w:abstractNumId w:val="36"/>
  </w:num>
  <w:num w:numId="29" w16cid:durableId="1497763068">
    <w:abstractNumId w:val="41"/>
  </w:num>
  <w:num w:numId="30" w16cid:durableId="1423185045">
    <w:abstractNumId w:val="52"/>
  </w:num>
  <w:num w:numId="31" w16cid:durableId="302001990">
    <w:abstractNumId w:val="34"/>
  </w:num>
  <w:num w:numId="32" w16cid:durableId="199510570">
    <w:abstractNumId w:val="48"/>
  </w:num>
  <w:num w:numId="33" w16cid:durableId="787166689">
    <w:abstractNumId w:val="33"/>
  </w:num>
  <w:num w:numId="34" w16cid:durableId="1191795134">
    <w:abstractNumId w:val="10"/>
  </w:num>
  <w:num w:numId="35" w16cid:durableId="1004473613">
    <w:abstractNumId w:val="46"/>
  </w:num>
  <w:num w:numId="36" w16cid:durableId="337972053">
    <w:abstractNumId w:val="54"/>
  </w:num>
  <w:num w:numId="37" w16cid:durableId="1057824243">
    <w:abstractNumId w:val="26"/>
  </w:num>
  <w:num w:numId="38" w16cid:durableId="335420096">
    <w:abstractNumId w:val="49"/>
  </w:num>
  <w:num w:numId="39" w16cid:durableId="920918015">
    <w:abstractNumId w:val="39"/>
  </w:num>
  <w:num w:numId="40" w16cid:durableId="1925649772">
    <w:abstractNumId w:val="31"/>
  </w:num>
  <w:num w:numId="41" w16cid:durableId="674303161">
    <w:abstractNumId w:val="25"/>
  </w:num>
  <w:num w:numId="42" w16cid:durableId="1287468399">
    <w:abstractNumId w:val="27"/>
  </w:num>
  <w:num w:numId="43" w16cid:durableId="321548049">
    <w:abstractNumId w:val="35"/>
  </w:num>
  <w:num w:numId="44" w16cid:durableId="230044725">
    <w:abstractNumId w:val="11"/>
  </w:num>
  <w:num w:numId="45" w16cid:durableId="1483080850">
    <w:abstractNumId w:val="30"/>
  </w:num>
  <w:num w:numId="46" w16cid:durableId="1854491329">
    <w:abstractNumId w:val="21"/>
  </w:num>
  <w:num w:numId="47" w16cid:durableId="475030641">
    <w:abstractNumId w:val="6"/>
  </w:num>
  <w:num w:numId="48" w16cid:durableId="42561593">
    <w:abstractNumId w:val="53"/>
  </w:num>
  <w:num w:numId="49" w16cid:durableId="1665664806">
    <w:abstractNumId w:val="16"/>
  </w:num>
  <w:num w:numId="50" w16cid:durableId="1265460727">
    <w:abstractNumId w:val="9"/>
  </w:num>
  <w:num w:numId="51" w16cid:durableId="1296762174">
    <w:abstractNumId w:val="45"/>
  </w:num>
  <w:num w:numId="52" w16cid:durableId="1001005769">
    <w:abstractNumId w:val="22"/>
  </w:num>
  <w:num w:numId="53" w16cid:durableId="946161255">
    <w:abstractNumId w:val="14"/>
  </w:num>
  <w:num w:numId="54" w16cid:durableId="1600942101">
    <w:abstractNumId w:val="51"/>
  </w:num>
  <w:num w:numId="55" w16cid:durableId="1349984438">
    <w:abstractNumId w:val="7"/>
  </w:num>
  <w:numIdMacAtCleanup w:val="4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60"/>
  <w:embedTrueTypeFonts/>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 Havas&lt;/Style&gt;&lt;LeftDelim&gt;{&lt;/LeftDelim&gt;&lt;RightDelim&gt;}&lt;/RightDelim&gt;&lt;FontName&gt;Cambria&lt;/FontName&gt;&lt;FontSize&gt;10&lt;/FontSize&gt;&lt;ReflistTitle&gt;&lt;/ReflistTitle&gt;&lt;StartingRefnum&gt;1&lt;/StartingRefnum&gt;&lt;FirstLineIndent&gt;0&lt;/FirstLineIndent&gt;&lt;HangingIndent&gt;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5f5va0252p5fee95pj55es3tdereta29dxz&quot;&gt;alexandra.denby@havas.com&lt;record-ids&gt;&lt;item&gt;8574&lt;/item&gt;&lt;item&gt;28085&lt;/item&gt;&lt;item&gt;28959&lt;/item&gt;&lt;item&gt;29303&lt;/item&gt;&lt;item&gt;29310&lt;/item&gt;&lt;item&gt;29311&lt;/item&gt;&lt;item&gt;29317&lt;/item&gt;&lt;item&gt;29321&lt;/item&gt;&lt;item&gt;29322&lt;/item&gt;&lt;item&gt;29323&lt;/item&gt;&lt;item&gt;29324&lt;/item&gt;&lt;item&gt;29325&lt;/item&gt;&lt;item&gt;29326&lt;/item&gt;&lt;item&gt;29327&lt;/item&gt;&lt;item&gt;29331&lt;/item&gt;&lt;item&gt;29332&lt;/item&gt;&lt;item&gt;29335&lt;/item&gt;&lt;item&gt;29337&lt;/item&gt;&lt;item&gt;29339&lt;/item&gt;&lt;item&gt;29343&lt;/item&gt;&lt;item&gt;29345&lt;/item&gt;&lt;item&gt;29347&lt;/item&gt;&lt;item&gt;29356&lt;/item&gt;&lt;item&gt;29359&lt;/item&gt;&lt;item&gt;29362&lt;/item&gt;&lt;item&gt;29364&lt;/item&gt;&lt;item&gt;29365&lt;/item&gt;&lt;item&gt;29385&lt;/item&gt;&lt;item&gt;29386&lt;/item&gt;&lt;item&gt;29425&lt;/item&gt;&lt;item&gt;29432&lt;/item&gt;&lt;item&gt;29443&lt;/item&gt;&lt;item&gt;29445&lt;/item&gt;&lt;item&gt;29446&lt;/item&gt;&lt;item&gt;29456&lt;/item&gt;&lt;item&gt;29468&lt;/item&gt;&lt;item&gt;29469&lt;/item&gt;&lt;item&gt;29470&lt;/item&gt;&lt;item&gt;29471&lt;/item&gt;&lt;item&gt;29507&lt;/item&gt;&lt;item&gt;29539&lt;/item&gt;&lt;item&gt;29724&lt;/item&gt;&lt;item&gt;29806&lt;/item&gt;&lt;item&gt;30009&lt;/item&gt;&lt;item&gt;30241&lt;/item&gt;&lt;item&gt;30242&lt;/item&gt;&lt;item&gt;30348&lt;/item&gt;&lt;item&gt;30349&lt;/item&gt;&lt;item&gt;31219&lt;/item&gt;&lt;item&gt;31220&lt;/item&gt;&lt;item&gt;31221&lt;/item&gt;&lt;item&gt;31222&lt;/item&gt;&lt;item&gt;31223&lt;/item&gt;&lt;item&gt;31224&lt;/item&gt;&lt;item&gt;31225&lt;/item&gt;&lt;item&gt;31226&lt;/item&gt;&lt;item&gt;31227&lt;/item&gt;&lt;item&gt;31228&lt;/item&gt;&lt;/record-ids&gt;&lt;/item&gt;&lt;/Libraries&gt;"/>
    <w:docVar w:name="EN.UseJSCitationFormat" w:val="False"/>
  </w:docVars>
  <w:rsids>
    <w:rsidRoot w:val="00B47730"/>
    <w:rsid w:val="000034EA"/>
    <w:rsid w:val="00005D9B"/>
    <w:rsid w:val="00006A01"/>
    <w:rsid w:val="00007777"/>
    <w:rsid w:val="00007BC7"/>
    <w:rsid w:val="0001040A"/>
    <w:rsid w:val="000116A6"/>
    <w:rsid w:val="0001227D"/>
    <w:rsid w:val="000129A5"/>
    <w:rsid w:val="00013689"/>
    <w:rsid w:val="00017C92"/>
    <w:rsid w:val="0002259B"/>
    <w:rsid w:val="00023AE5"/>
    <w:rsid w:val="00034616"/>
    <w:rsid w:val="000349F3"/>
    <w:rsid w:val="000379B8"/>
    <w:rsid w:val="00046D36"/>
    <w:rsid w:val="00052CF1"/>
    <w:rsid w:val="00053E01"/>
    <w:rsid w:val="0006063C"/>
    <w:rsid w:val="00061000"/>
    <w:rsid w:val="00062429"/>
    <w:rsid w:val="00063FB0"/>
    <w:rsid w:val="00064B52"/>
    <w:rsid w:val="000677F6"/>
    <w:rsid w:val="00076DFC"/>
    <w:rsid w:val="000807AF"/>
    <w:rsid w:val="00080BFD"/>
    <w:rsid w:val="00081AA2"/>
    <w:rsid w:val="00086576"/>
    <w:rsid w:val="000923B8"/>
    <w:rsid w:val="000A0DC6"/>
    <w:rsid w:val="000A3147"/>
    <w:rsid w:val="000A326D"/>
    <w:rsid w:val="000A3DA0"/>
    <w:rsid w:val="000A5BD7"/>
    <w:rsid w:val="000B03B8"/>
    <w:rsid w:val="000B4F54"/>
    <w:rsid w:val="000B52A1"/>
    <w:rsid w:val="000C3820"/>
    <w:rsid w:val="000C7190"/>
    <w:rsid w:val="000D1E86"/>
    <w:rsid w:val="000D3D85"/>
    <w:rsid w:val="000E1566"/>
    <w:rsid w:val="000E37C1"/>
    <w:rsid w:val="000E4452"/>
    <w:rsid w:val="000E6D81"/>
    <w:rsid w:val="000E73AD"/>
    <w:rsid w:val="000F0C33"/>
    <w:rsid w:val="000F2E10"/>
    <w:rsid w:val="000F46BA"/>
    <w:rsid w:val="000F5BF2"/>
    <w:rsid w:val="000F77BC"/>
    <w:rsid w:val="00102802"/>
    <w:rsid w:val="001034B8"/>
    <w:rsid w:val="00106075"/>
    <w:rsid w:val="001209DA"/>
    <w:rsid w:val="001226A3"/>
    <w:rsid w:val="0012331B"/>
    <w:rsid w:val="00124B81"/>
    <w:rsid w:val="00126A1D"/>
    <w:rsid w:val="001273FD"/>
    <w:rsid w:val="00130744"/>
    <w:rsid w:val="00130D6E"/>
    <w:rsid w:val="00134026"/>
    <w:rsid w:val="00135281"/>
    <w:rsid w:val="00137326"/>
    <w:rsid w:val="001376B9"/>
    <w:rsid w:val="001377C4"/>
    <w:rsid w:val="00137FD3"/>
    <w:rsid w:val="00144756"/>
    <w:rsid w:val="00147768"/>
    <w:rsid w:val="00147EEA"/>
    <w:rsid w:val="001500DB"/>
    <w:rsid w:val="0015074B"/>
    <w:rsid w:val="00151B0B"/>
    <w:rsid w:val="001537F8"/>
    <w:rsid w:val="0015407C"/>
    <w:rsid w:val="00154F60"/>
    <w:rsid w:val="00156840"/>
    <w:rsid w:val="00175625"/>
    <w:rsid w:val="00175CDA"/>
    <w:rsid w:val="0017674A"/>
    <w:rsid w:val="001776C6"/>
    <w:rsid w:val="00182749"/>
    <w:rsid w:val="00183369"/>
    <w:rsid w:val="0018350B"/>
    <w:rsid w:val="00192675"/>
    <w:rsid w:val="00196116"/>
    <w:rsid w:val="00196DB5"/>
    <w:rsid w:val="001A3875"/>
    <w:rsid w:val="001A5E5A"/>
    <w:rsid w:val="001B1BDE"/>
    <w:rsid w:val="001B25DC"/>
    <w:rsid w:val="001B36EE"/>
    <w:rsid w:val="001C0B20"/>
    <w:rsid w:val="001C5BD1"/>
    <w:rsid w:val="001D0528"/>
    <w:rsid w:val="001D0950"/>
    <w:rsid w:val="001D0B8F"/>
    <w:rsid w:val="001D1BDC"/>
    <w:rsid w:val="001D227F"/>
    <w:rsid w:val="001D296E"/>
    <w:rsid w:val="001D4399"/>
    <w:rsid w:val="001E070D"/>
    <w:rsid w:val="001E0DDD"/>
    <w:rsid w:val="001E18DF"/>
    <w:rsid w:val="001E3BB7"/>
    <w:rsid w:val="001E6C64"/>
    <w:rsid w:val="001F1EFA"/>
    <w:rsid w:val="00201A26"/>
    <w:rsid w:val="0020789C"/>
    <w:rsid w:val="00211CB6"/>
    <w:rsid w:val="00220283"/>
    <w:rsid w:val="00220E34"/>
    <w:rsid w:val="002238F7"/>
    <w:rsid w:val="002310CE"/>
    <w:rsid w:val="002310EF"/>
    <w:rsid w:val="0023335E"/>
    <w:rsid w:val="002368D6"/>
    <w:rsid w:val="00236EE2"/>
    <w:rsid w:val="00241B29"/>
    <w:rsid w:val="00242518"/>
    <w:rsid w:val="00242745"/>
    <w:rsid w:val="0024361A"/>
    <w:rsid w:val="0024592A"/>
    <w:rsid w:val="0025012C"/>
    <w:rsid w:val="002510CB"/>
    <w:rsid w:val="00261F30"/>
    <w:rsid w:val="0026678F"/>
    <w:rsid w:val="00266FC1"/>
    <w:rsid w:val="00267D11"/>
    <w:rsid w:val="00271FA3"/>
    <w:rsid w:val="00272679"/>
    <w:rsid w:val="00273605"/>
    <w:rsid w:val="002768C0"/>
    <w:rsid w:val="00276DA0"/>
    <w:rsid w:val="00280670"/>
    <w:rsid w:val="002835CD"/>
    <w:rsid w:val="00285D38"/>
    <w:rsid w:val="00285D69"/>
    <w:rsid w:val="00286B3D"/>
    <w:rsid w:val="0029595E"/>
    <w:rsid w:val="00295A00"/>
    <w:rsid w:val="00295B83"/>
    <w:rsid w:val="0029639D"/>
    <w:rsid w:val="002A2B7B"/>
    <w:rsid w:val="002A2C58"/>
    <w:rsid w:val="002A35CB"/>
    <w:rsid w:val="002A455B"/>
    <w:rsid w:val="002B269B"/>
    <w:rsid w:val="002B53C2"/>
    <w:rsid w:val="002C0C79"/>
    <w:rsid w:val="002C10C6"/>
    <w:rsid w:val="002C4192"/>
    <w:rsid w:val="002D5CF5"/>
    <w:rsid w:val="002D70E3"/>
    <w:rsid w:val="002E1E43"/>
    <w:rsid w:val="002E20C1"/>
    <w:rsid w:val="002E4E4A"/>
    <w:rsid w:val="002E71C9"/>
    <w:rsid w:val="002E7A02"/>
    <w:rsid w:val="002F142E"/>
    <w:rsid w:val="002F4C76"/>
    <w:rsid w:val="002F5917"/>
    <w:rsid w:val="002F6390"/>
    <w:rsid w:val="00302771"/>
    <w:rsid w:val="00302C79"/>
    <w:rsid w:val="00303B1E"/>
    <w:rsid w:val="003041F1"/>
    <w:rsid w:val="00307EDC"/>
    <w:rsid w:val="003106A2"/>
    <w:rsid w:val="00311606"/>
    <w:rsid w:val="00312D18"/>
    <w:rsid w:val="00314AF8"/>
    <w:rsid w:val="00322054"/>
    <w:rsid w:val="003235B0"/>
    <w:rsid w:val="00326552"/>
    <w:rsid w:val="00326F90"/>
    <w:rsid w:val="003333DE"/>
    <w:rsid w:val="00334004"/>
    <w:rsid w:val="00341934"/>
    <w:rsid w:val="003431BD"/>
    <w:rsid w:val="003449A4"/>
    <w:rsid w:val="003473BB"/>
    <w:rsid w:val="00352212"/>
    <w:rsid w:val="00354E14"/>
    <w:rsid w:val="00360482"/>
    <w:rsid w:val="00361000"/>
    <w:rsid w:val="00362E3E"/>
    <w:rsid w:val="003634E7"/>
    <w:rsid w:val="00373C4A"/>
    <w:rsid w:val="00373CD5"/>
    <w:rsid w:val="00374943"/>
    <w:rsid w:val="00374D38"/>
    <w:rsid w:val="00383DB2"/>
    <w:rsid w:val="00383E33"/>
    <w:rsid w:val="003878D1"/>
    <w:rsid w:val="00387971"/>
    <w:rsid w:val="00396A49"/>
    <w:rsid w:val="003974BA"/>
    <w:rsid w:val="003A06AB"/>
    <w:rsid w:val="003A1069"/>
    <w:rsid w:val="003A11A9"/>
    <w:rsid w:val="003A1CA9"/>
    <w:rsid w:val="003B163D"/>
    <w:rsid w:val="003B1F95"/>
    <w:rsid w:val="003B33D1"/>
    <w:rsid w:val="003B709F"/>
    <w:rsid w:val="003C00D8"/>
    <w:rsid w:val="003C0ABB"/>
    <w:rsid w:val="003C18BE"/>
    <w:rsid w:val="003C4A06"/>
    <w:rsid w:val="003C5247"/>
    <w:rsid w:val="003D1DF7"/>
    <w:rsid w:val="003D3CD0"/>
    <w:rsid w:val="003E17CA"/>
    <w:rsid w:val="003E2205"/>
    <w:rsid w:val="003E39CD"/>
    <w:rsid w:val="003E7877"/>
    <w:rsid w:val="003F277B"/>
    <w:rsid w:val="003F2FA4"/>
    <w:rsid w:val="003F43FE"/>
    <w:rsid w:val="003F79E9"/>
    <w:rsid w:val="003F7C7E"/>
    <w:rsid w:val="00400502"/>
    <w:rsid w:val="004024CD"/>
    <w:rsid w:val="004045DA"/>
    <w:rsid w:val="00404899"/>
    <w:rsid w:val="00407099"/>
    <w:rsid w:val="00407F3A"/>
    <w:rsid w:val="004157CC"/>
    <w:rsid w:val="00420419"/>
    <w:rsid w:val="0042081F"/>
    <w:rsid w:val="0042202B"/>
    <w:rsid w:val="004247EB"/>
    <w:rsid w:val="00424D5A"/>
    <w:rsid w:val="00430C78"/>
    <w:rsid w:val="00434430"/>
    <w:rsid w:val="004374F8"/>
    <w:rsid w:val="00437A32"/>
    <w:rsid w:val="00440E08"/>
    <w:rsid w:val="0044371C"/>
    <w:rsid w:val="00444A06"/>
    <w:rsid w:val="00445E90"/>
    <w:rsid w:val="004469CD"/>
    <w:rsid w:val="00447C45"/>
    <w:rsid w:val="00450627"/>
    <w:rsid w:val="00450D0C"/>
    <w:rsid w:val="00454DDC"/>
    <w:rsid w:val="0045647D"/>
    <w:rsid w:val="0045741B"/>
    <w:rsid w:val="00461AF8"/>
    <w:rsid w:val="00474064"/>
    <w:rsid w:val="00474368"/>
    <w:rsid w:val="00474490"/>
    <w:rsid w:val="00474A5C"/>
    <w:rsid w:val="004761B9"/>
    <w:rsid w:val="00481952"/>
    <w:rsid w:val="00490CA3"/>
    <w:rsid w:val="00491743"/>
    <w:rsid w:val="00492EF2"/>
    <w:rsid w:val="00493934"/>
    <w:rsid w:val="004953C5"/>
    <w:rsid w:val="0049726A"/>
    <w:rsid w:val="004A2D75"/>
    <w:rsid w:val="004B282C"/>
    <w:rsid w:val="004B37D2"/>
    <w:rsid w:val="004C3956"/>
    <w:rsid w:val="004C7EB8"/>
    <w:rsid w:val="004D04BF"/>
    <w:rsid w:val="004D0F58"/>
    <w:rsid w:val="004D3BC7"/>
    <w:rsid w:val="004E3E81"/>
    <w:rsid w:val="004E445F"/>
    <w:rsid w:val="004E481E"/>
    <w:rsid w:val="004E6766"/>
    <w:rsid w:val="004E73B4"/>
    <w:rsid w:val="004F0BA6"/>
    <w:rsid w:val="004F4111"/>
    <w:rsid w:val="004F6F94"/>
    <w:rsid w:val="00503A4E"/>
    <w:rsid w:val="005040C8"/>
    <w:rsid w:val="005072F7"/>
    <w:rsid w:val="005107D5"/>
    <w:rsid w:val="00511E82"/>
    <w:rsid w:val="00516617"/>
    <w:rsid w:val="00520165"/>
    <w:rsid w:val="0052366A"/>
    <w:rsid w:val="005241F1"/>
    <w:rsid w:val="00525AC7"/>
    <w:rsid w:val="00530497"/>
    <w:rsid w:val="005309BE"/>
    <w:rsid w:val="0053207A"/>
    <w:rsid w:val="0053265D"/>
    <w:rsid w:val="0053391E"/>
    <w:rsid w:val="005348FA"/>
    <w:rsid w:val="00534FB9"/>
    <w:rsid w:val="0053594C"/>
    <w:rsid w:val="00537A5D"/>
    <w:rsid w:val="005403BD"/>
    <w:rsid w:val="00544168"/>
    <w:rsid w:val="00547671"/>
    <w:rsid w:val="00551E84"/>
    <w:rsid w:val="00553C4E"/>
    <w:rsid w:val="005577BF"/>
    <w:rsid w:val="005623AC"/>
    <w:rsid w:val="00562C79"/>
    <w:rsid w:val="0056327B"/>
    <w:rsid w:val="00565A21"/>
    <w:rsid w:val="00570A63"/>
    <w:rsid w:val="00571B01"/>
    <w:rsid w:val="005768F8"/>
    <w:rsid w:val="00576B66"/>
    <w:rsid w:val="00577143"/>
    <w:rsid w:val="005868EA"/>
    <w:rsid w:val="0058732A"/>
    <w:rsid w:val="005878DA"/>
    <w:rsid w:val="005910C1"/>
    <w:rsid w:val="0059428E"/>
    <w:rsid w:val="005965B3"/>
    <w:rsid w:val="005972E1"/>
    <w:rsid w:val="005A744B"/>
    <w:rsid w:val="005C015D"/>
    <w:rsid w:val="005C0DEA"/>
    <w:rsid w:val="005C1F0C"/>
    <w:rsid w:val="005C3BF4"/>
    <w:rsid w:val="005D155B"/>
    <w:rsid w:val="005D35F9"/>
    <w:rsid w:val="005D7CA4"/>
    <w:rsid w:val="005E513B"/>
    <w:rsid w:val="005F777E"/>
    <w:rsid w:val="0060021F"/>
    <w:rsid w:val="0060320B"/>
    <w:rsid w:val="00606610"/>
    <w:rsid w:val="00616592"/>
    <w:rsid w:val="00620345"/>
    <w:rsid w:val="00620740"/>
    <w:rsid w:val="00620DC9"/>
    <w:rsid w:val="006217AF"/>
    <w:rsid w:val="0062206C"/>
    <w:rsid w:val="006221DE"/>
    <w:rsid w:val="00627633"/>
    <w:rsid w:val="00630DEC"/>
    <w:rsid w:val="00631348"/>
    <w:rsid w:val="00631C12"/>
    <w:rsid w:val="00632F43"/>
    <w:rsid w:val="00633072"/>
    <w:rsid w:val="00635955"/>
    <w:rsid w:val="00636D44"/>
    <w:rsid w:val="006408C8"/>
    <w:rsid w:val="006437F4"/>
    <w:rsid w:val="006456C5"/>
    <w:rsid w:val="006470A6"/>
    <w:rsid w:val="006500BB"/>
    <w:rsid w:val="00650ECF"/>
    <w:rsid w:val="00653399"/>
    <w:rsid w:val="00654693"/>
    <w:rsid w:val="00654B8D"/>
    <w:rsid w:val="00662DAF"/>
    <w:rsid w:val="00664982"/>
    <w:rsid w:val="00665928"/>
    <w:rsid w:val="00667C5D"/>
    <w:rsid w:val="00671B21"/>
    <w:rsid w:val="00680D64"/>
    <w:rsid w:val="00686BBD"/>
    <w:rsid w:val="00692289"/>
    <w:rsid w:val="00694FB2"/>
    <w:rsid w:val="0069792B"/>
    <w:rsid w:val="006A0072"/>
    <w:rsid w:val="006A059A"/>
    <w:rsid w:val="006A24B1"/>
    <w:rsid w:val="006A2E98"/>
    <w:rsid w:val="006A4308"/>
    <w:rsid w:val="006A50D1"/>
    <w:rsid w:val="006B4A48"/>
    <w:rsid w:val="006B72A9"/>
    <w:rsid w:val="006C36EC"/>
    <w:rsid w:val="006C5E86"/>
    <w:rsid w:val="006C74F2"/>
    <w:rsid w:val="006D0826"/>
    <w:rsid w:val="006D1573"/>
    <w:rsid w:val="006D77EA"/>
    <w:rsid w:val="006E1E4A"/>
    <w:rsid w:val="006E701D"/>
    <w:rsid w:val="006F0FC2"/>
    <w:rsid w:val="006F48D3"/>
    <w:rsid w:val="006F53C5"/>
    <w:rsid w:val="006F5973"/>
    <w:rsid w:val="006F5DBA"/>
    <w:rsid w:val="0070005A"/>
    <w:rsid w:val="0070049B"/>
    <w:rsid w:val="00700EBB"/>
    <w:rsid w:val="0070484E"/>
    <w:rsid w:val="00706FDA"/>
    <w:rsid w:val="007070E6"/>
    <w:rsid w:val="007075DC"/>
    <w:rsid w:val="00712B4D"/>
    <w:rsid w:val="00713C45"/>
    <w:rsid w:val="007218DA"/>
    <w:rsid w:val="00721E9E"/>
    <w:rsid w:val="00723D4A"/>
    <w:rsid w:val="00727D8D"/>
    <w:rsid w:val="007300DE"/>
    <w:rsid w:val="00730C7D"/>
    <w:rsid w:val="00730CB9"/>
    <w:rsid w:val="00733797"/>
    <w:rsid w:val="00735199"/>
    <w:rsid w:val="00745535"/>
    <w:rsid w:val="007473D7"/>
    <w:rsid w:val="00750B14"/>
    <w:rsid w:val="00752828"/>
    <w:rsid w:val="00753FE9"/>
    <w:rsid w:val="00755A81"/>
    <w:rsid w:val="007620B0"/>
    <w:rsid w:val="007624A2"/>
    <w:rsid w:val="0076445E"/>
    <w:rsid w:val="00764F52"/>
    <w:rsid w:val="0076526B"/>
    <w:rsid w:val="00766A2D"/>
    <w:rsid w:val="00770312"/>
    <w:rsid w:val="00770AA7"/>
    <w:rsid w:val="00774F15"/>
    <w:rsid w:val="007754B8"/>
    <w:rsid w:val="0078034A"/>
    <w:rsid w:val="00787FC2"/>
    <w:rsid w:val="00791915"/>
    <w:rsid w:val="007931C0"/>
    <w:rsid w:val="00793D9B"/>
    <w:rsid w:val="00795851"/>
    <w:rsid w:val="00795E7B"/>
    <w:rsid w:val="00797603"/>
    <w:rsid w:val="007A02DD"/>
    <w:rsid w:val="007A03B1"/>
    <w:rsid w:val="007B00D7"/>
    <w:rsid w:val="007B12BA"/>
    <w:rsid w:val="007B7B7F"/>
    <w:rsid w:val="007C5948"/>
    <w:rsid w:val="007C6885"/>
    <w:rsid w:val="007E2409"/>
    <w:rsid w:val="007E2D77"/>
    <w:rsid w:val="007E421A"/>
    <w:rsid w:val="007E5C05"/>
    <w:rsid w:val="007F0888"/>
    <w:rsid w:val="007F1AAD"/>
    <w:rsid w:val="007F55FE"/>
    <w:rsid w:val="007F6AB5"/>
    <w:rsid w:val="00800EFD"/>
    <w:rsid w:val="008021DF"/>
    <w:rsid w:val="00803CB0"/>
    <w:rsid w:val="00803DAA"/>
    <w:rsid w:val="00805B12"/>
    <w:rsid w:val="00810A1F"/>
    <w:rsid w:val="0081130C"/>
    <w:rsid w:val="00817466"/>
    <w:rsid w:val="008208B1"/>
    <w:rsid w:val="00820ED1"/>
    <w:rsid w:val="0083194A"/>
    <w:rsid w:val="00834751"/>
    <w:rsid w:val="0083497D"/>
    <w:rsid w:val="00843AB3"/>
    <w:rsid w:val="0084523D"/>
    <w:rsid w:val="00850964"/>
    <w:rsid w:val="008546A1"/>
    <w:rsid w:val="00854AB5"/>
    <w:rsid w:val="00862DB9"/>
    <w:rsid w:val="00863060"/>
    <w:rsid w:val="00863348"/>
    <w:rsid w:val="00865900"/>
    <w:rsid w:val="008668AA"/>
    <w:rsid w:val="00871B90"/>
    <w:rsid w:val="00874A1B"/>
    <w:rsid w:val="008752A6"/>
    <w:rsid w:val="00876247"/>
    <w:rsid w:val="00876673"/>
    <w:rsid w:val="0088202A"/>
    <w:rsid w:val="00885DA9"/>
    <w:rsid w:val="00886C48"/>
    <w:rsid w:val="00891E89"/>
    <w:rsid w:val="0089621F"/>
    <w:rsid w:val="008A1183"/>
    <w:rsid w:val="008A3492"/>
    <w:rsid w:val="008A34F7"/>
    <w:rsid w:val="008B1F80"/>
    <w:rsid w:val="008B253D"/>
    <w:rsid w:val="008C6A74"/>
    <w:rsid w:val="008C6F7C"/>
    <w:rsid w:val="008C736A"/>
    <w:rsid w:val="008D76EF"/>
    <w:rsid w:val="008E1D65"/>
    <w:rsid w:val="008E2B76"/>
    <w:rsid w:val="008E4095"/>
    <w:rsid w:val="008F0896"/>
    <w:rsid w:val="008F1982"/>
    <w:rsid w:val="008F2A97"/>
    <w:rsid w:val="00902B4D"/>
    <w:rsid w:val="00905335"/>
    <w:rsid w:val="0091047D"/>
    <w:rsid w:val="00911BF2"/>
    <w:rsid w:val="00913708"/>
    <w:rsid w:val="009154B9"/>
    <w:rsid w:val="009158D8"/>
    <w:rsid w:val="00917A83"/>
    <w:rsid w:val="009262A1"/>
    <w:rsid w:val="00931E2C"/>
    <w:rsid w:val="00932CBC"/>
    <w:rsid w:val="00934DC6"/>
    <w:rsid w:val="0094129F"/>
    <w:rsid w:val="009418D6"/>
    <w:rsid w:val="009426AF"/>
    <w:rsid w:val="00944725"/>
    <w:rsid w:val="0094602A"/>
    <w:rsid w:val="00950487"/>
    <w:rsid w:val="00957B81"/>
    <w:rsid w:val="00960BE1"/>
    <w:rsid w:val="00973815"/>
    <w:rsid w:val="00973E5A"/>
    <w:rsid w:val="00975902"/>
    <w:rsid w:val="00980080"/>
    <w:rsid w:val="00984027"/>
    <w:rsid w:val="00985F46"/>
    <w:rsid w:val="009876F4"/>
    <w:rsid w:val="00991949"/>
    <w:rsid w:val="0099547D"/>
    <w:rsid w:val="009A10EE"/>
    <w:rsid w:val="009A169B"/>
    <w:rsid w:val="009C2205"/>
    <w:rsid w:val="009C3E4C"/>
    <w:rsid w:val="009C4AF2"/>
    <w:rsid w:val="009D06C9"/>
    <w:rsid w:val="009D17B8"/>
    <w:rsid w:val="009D2026"/>
    <w:rsid w:val="009D2AD2"/>
    <w:rsid w:val="009D6FD9"/>
    <w:rsid w:val="009D7BB0"/>
    <w:rsid w:val="009E188B"/>
    <w:rsid w:val="009E2B47"/>
    <w:rsid w:val="009E34B6"/>
    <w:rsid w:val="009E6706"/>
    <w:rsid w:val="00A01EE4"/>
    <w:rsid w:val="00A032CC"/>
    <w:rsid w:val="00A0533B"/>
    <w:rsid w:val="00A104B9"/>
    <w:rsid w:val="00A12E0E"/>
    <w:rsid w:val="00A1451E"/>
    <w:rsid w:val="00A1596C"/>
    <w:rsid w:val="00A16A6D"/>
    <w:rsid w:val="00A21416"/>
    <w:rsid w:val="00A23B42"/>
    <w:rsid w:val="00A26CBB"/>
    <w:rsid w:val="00A301A8"/>
    <w:rsid w:val="00A3260D"/>
    <w:rsid w:val="00A363EE"/>
    <w:rsid w:val="00A36CE8"/>
    <w:rsid w:val="00A5036A"/>
    <w:rsid w:val="00A53D7F"/>
    <w:rsid w:val="00A614E8"/>
    <w:rsid w:val="00A626FD"/>
    <w:rsid w:val="00A627CC"/>
    <w:rsid w:val="00A62DF1"/>
    <w:rsid w:val="00A63F23"/>
    <w:rsid w:val="00A652BE"/>
    <w:rsid w:val="00A65C5A"/>
    <w:rsid w:val="00A66804"/>
    <w:rsid w:val="00A66E27"/>
    <w:rsid w:val="00A72612"/>
    <w:rsid w:val="00A77DDE"/>
    <w:rsid w:val="00A849AB"/>
    <w:rsid w:val="00A85A59"/>
    <w:rsid w:val="00A911D1"/>
    <w:rsid w:val="00A9488A"/>
    <w:rsid w:val="00A94F7B"/>
    <w:rsid w:val="00A97FDB"/>
    <w:rsid w:val="00AA1D1E"/>
    <w:rsid w:val="00AA1D8D"/>
    <w:rsid w:val="00AB0F0B"/>
    <w:rsid w:val="00AB142E"/>
    <w:rsid w:val="00AB1AA2"/>
    <w:rsid w:val="00AB1AB1"/>
    <w:rsid w:val="00AB243E"/>
    <w:rsid w:val="00AB5011"/>
    <w:rsid w:val="00AB5175"/>
    <w:rsid w:val="00AB756E"/>
    <w:rsid w:val="00AB7BD4"/>
    <w:rsid w:val="00AC12C2"/>
    <w:rsid w:val="00AC3701"/>
    <w:rsid w:val="00AC56C3"/>
    <w:rsid w:val="00AD090F"/>
    <w:rsid w:val="00AD22A3"/>
    <w:rsid w:val="00AD6816"/>
    <w:rsid w:val="00AD7019"/>
    <w:rsid w:val="00AE0746"/>
    <w:rsid w:val="00AE078F"/>
    <w:rsid w:val="00AE3438"/>
    <w:rsid w:val="00AE5933"/>
    <w:rsid w:val="00B00822"/>
    <w:rsid w:val="00B01135"/>
    <w:rsid w:val="00B01DE1"/>
    <w:rsid w:val="00B025E5"/>
    <w:rsid w:val="00B05064"/>
    <w:rsid w:val="00B05C63"/>
    <w:rsid w:val="00B0618C"/>
    <w:rsid w:val="00B0655E"/>
    <w:rsid w:val="00B07640"/>
    <w:rsid w:val="00B10AF9"/>
    <w:rsid w:val="00B146B6"/>
    <w:rsid w:val="00B16CC5"/>
    <w:rsid w:val="00B174E7"/>
    <w:rsid w:val="00B20FBA"/>
    <w:rsid w:val="00B2227A"/>
    <w:rsid w:val="00B22D99"/>
    <w:rsid w:val="00B23189"/>
    <w:rsid w:val="00B244D8"/>
    <w:rsid w:val="00B247F6"/>
    <w:rsid w:val="00B25D86"/>
    <w:rsid w:val="00B26C59"/>
    <w:rsid w:val="00B30D4B"/>
    <w:rsid w:val="00B31BA7"/>
    <w:rsid w:val="00B3374B"/>
    <w:rsid w:val="00B34FA4"/>
    <w:rsid w:val="00B36540"/>
    <w:rsid w:val="00B36DFC"/>
    <w:rsid w:val="00B40017"/>
    <w:rsid w:val="00B47730"/>
    <w:rsid w:val="00B47E54"/>
    <w:rsid w:val="00B518DF"/>
    <w:rsid w:val="00B51F63"/>
    <w:rsid w:val="00B52069"/>
    <w:rsid w:val="00B576DC"/>
    <w:rsid w:val="00B600C2"/>
    <w:rsid w:val="00B632FF"/>
    <w:rsid w:val="00B666AD"/>
    <w:rsid w:val="00B671CB"/>
    <w:rsid w:val="00B678C6"/>
    <w:rsid w:val="00B71293"/>
    <w:rsid w:val="00B73C20"/>
    <w:rsid w:val="00B77D82"/>
    <w:rsid w:val="00B817CB"/>
    <w:rsid w:val="00B90285"/>
    <w:rsid w:val="00B90482"/>
    <w:rsid w:val="00B9298F"/>
    <w:rsid w:val="00B94043"/>
    <w:rsid w:val="00BA022C"/>
    <w:rsid w:val="00BA06A8"/>
    <w:rsid w:val="00BA2F58"/>
    <w:rsid w:val="00BA3691"/>
    <w:rsid w:val="00BA76EE"/>
    <w:rsid w:val="00BB3B5A"/>
    <w:rsid w:val="00BB5101"/>
    <w:rsid w:val="00BB7FF1"/>
    <w:rsid w:val="00BC08D9"/>
    <w:rsid w:val="00BC2616"/>
    <w:rsid w:val="00BC3208"/>
    <w:rsid w:val="00BC4F95"/>
    <w:rsid w:val="00BC77BF"/>
    <w:rsid w:val="00BD096A"/>
    <w:rsid w:val="00BD4483"/>
    <w:rsid w:val="00BD5413"/>
    <w:rsid w:val="00BD65DD"/>
    <w:rsid w:val="00BD71C5"/>
    <w:rsid w:val="00BE1C20"/>
    <w:rsid w:val="00BE1E32"/>
    <w:rsid w:val="00BE53E6"/>
    <w:rsid w:val="00BE5D70"/>
    <w:rsid w:val="00BE65AC"/>
    <w:rsid w:val="00BE7535"/>
    <w:rsid w:val="00BF4B67"/>
    <w:rsid w:val="00BF622E"/>
    <w:rsid w:val="00C0117B"/>
    <w:rsid w:val="00C029B4"/>
    <w:rsid w:val="00C037A5"/>
    <w:rsid w:val="00C06E74"/>
    <w:rsid w:val="00C10A43"/>
    <w:rsid w:val="00C143EC"/>
    <w:rsid w:val="00C153A3"/>
    <w:rsid w:val="00C16109"/>
    <w:rsid w:val="00C2092B"/>
    <w:rsid w:val="00C23CBC"/>
    <w:rsid w:val="00C27CE0"/>
    <w:rsid w:val="00C35E87"/>
    <w:rsid w:val="00C37315"/>
    <w:rsid w:val="00C3778E"/>
    <w:rsid w:val="00C40721"/>
    <w:rsid w:val="00C43185"/>
    <w:rsid w:val="00C44AFE"/>
    <w:rsid w:val="00C4644D"/>
    <w:rsid w:val="00C474DC"/>
    <w:rsid w:val="00C52D10"/>
    <w:rsid w:val="00C540F6"/>
    <w:rsid w:val="00C56766"/>
    <w:rsid w:val="00C6087C"/>
    <w:rsid w:val="00C62CA5"/>
    <w:rsid w:val="00C65416"/>
    <w:rsid w:val="00C6548D"/>
    <w:rsid w:val="00C65A10"/>
    <w:rsid w:val="00C679E0"/>
    <w:rsid w:val="00C71685"/>
    <w:rsid w:val="00C73CA4"/>
    <w:rsid w:val="00C7522A"/>
    <w:rsid w:val="00C755F8"/>
    <w:rsid w:val="00C815BC"/>
    <w:rsid w:val="00C84532"/>
    <w:rsid w:val="00C873C1"/>
    <w:rsid w:val="00C90722"/>
    <w:rsid w:val="00C910CB"/>
    <w:rsid w:val="00C94328"/>
    <w:rsid w:val="00CA45AE"/>
    <w:rsid w:val="00CA4C59"/>
    <w:rsid w:val="00CA4F5C"/>
    <w:rsid w:val="00CA5C45"/>
    <w:rsid w:val="00CA5EC6"/>
    <w:rsid w:val="00CB0664"/>
    <w:rsid w:val="00CB14F3"/>
    <w:rsid w:val="00CB6251"/>
    <w:rsid w:val="00CB7B28"/>
    <w:rsid w:val="00CC04E4"/>
    <w:rsid w:val="00CC3533"/>
    <w:rsid w:val="00CD246D"/>
    <w:rsid w:val="00CD3080"/>
    <w:rsid w:val="00CD6122"/>
    <w:rsid w:val="00CE038E"/>
    <w:rsid w:val="00CE0A0B"/>
    <w:rsid w:val="00CE16AC"/>
    <w:rsid w:val="00CE3149"/>
    <w:rsid w:val="00CF3430"/>
    <w:rsid w:val="00D025C3"/>
    <w:rsid w:val="00D02C0B"/>
    <w:rsid w:val="00D030D0"/>
    <w:rsid w:val="00D03251"/>
    <w:rsid w:val="00D0511E"/>
    <w:rsid w:val="00D11771"/>
    <w:rsid w:val="00D175EB"/>
    <w:rsid w:val="00D176D2"/>
    <w:rsid w:val="00D2064F"/>
    <w:rsid w:val="00D207C3"/>
    <w:rsid w:val="00D20D7A"/>
    <w:rsid w:val="00D21818"/>
    <w:rsid w:val="00D21E71"/>
    <w:rsid w:val="00D230AD"/>
    <w:rsid w:val="00D23218"/>
    <w:rsid w:val="00D2383A"/>
    <w:rsid w:val="00D26607"/>
    <w:rsid w:val="00D31040"/>
    <w:rsid w:val="00D34BB0"/>
    <w:rsid w:val="00D34D90"/>
    <w:rsid w:val="00D35624"/>
    <w:rsid w:val="00D35B69"/>
    <w:rsid w:val="00D417D9"/>
    <w:rsid w:val="00D45D68"/>
    <w:rsid w:val="00D50903"/>
    <w:rsid w:val="00D51AF0"/>
    <w:rsid w:val="00D54BCB"/>
    <w:rsid w:val="00D60176"/>
    <w:rsid w:val="00D626AB"/>
    <w:rsid w:val="00D636B1"/>
    <w:rsid w:val="00D638E4"/>
    <w:rsid w:val="00D63CC4"/>
    <w:rsid w:val="00D63E8F"/>
    <w:rsid w:val="00D64302"/>
    <w:rsid w:val="00D65E25"/>
    <w:rsid w:val="00D7286D"/>
    <w:rsid w:val="00D801E1"/>
    <w:rsid w:val="00D83425"/>
    <w:rsid w:val="00D838D7"/>
    <w:rsid w:val="00D8483B"/>
    <w:rsid w:val="00D85956"/>
    <w:rsid w:val="00D872C5"/>
    <w:rsid w:val="00D936EA"/>
    <w:rsid w:val="00D9433E"/>
    <w:rsid w:val="00D9552E"/>
    <w:rsid w:val="00DA0225"/>
    <w:rsid w:val="00DA171F"/>
    <w:rsid w:val="00DA5482"/>
    <w:rsid w:val="00DB1B24"/>
    <w:rsid w:val="00DB1BB9"/>
    <w:rsid w:val="00DB2D44"/>
    <w:rsid w:val="00DB72EE"/>
    <w:rsid w:val="00DB73EE"/>
    <w:rsid w:val="00DC04DA"/>
    <w:rsid w:val="00DC05A6"/>
    <w:rsid w:val="00DC1732"/>
    <w:rsid w:val="00DC3A53"/>
    <w:rsid w:val="00DC53B6"/>
    <w:rsid w:val="00DC7BE6"/>
    <w:rsid w:val="00DC7C40"/>
    <w:rsid w:val="00DD016B"/>
    <w:rsid w:val="00DD3690"/>
    <w:rsid w:val="00DD6D35"/>
    <w:rsid w:val="00DE25B0"/>
    <w:rsid w:val="00DE27A1"/>
    <w:rsid w:val="00DE686F"/>
    <w:rsid w:val="00DF2752"/>
    <w:rsid w:val="00DF3AE5"/>
    <w:rsid w:val="00DF4AA6"/>
    <w:rsid w:val="00DF5235"/>
    <w:rsid w:val="00E02008"/>
    <w:rsid w:val="00E026A5"/>
    <w:rsid w:val="00E042D1"/>
    <w:rsid w:val="00E10254"/>
    <w:rsid w:val="00E13FC9"/>
    <w:rsid w:val="00E14262"/>
    <w:rsid w:val="00E217F0"/>
    <w:rsid w:val="00E240D2"/>
    <w:rsid w:val="00E37B9D"/>
    <w:rsid w:val="00E4040E"/>
    <w:rsid w:val="00E40A61"/>
    <w:rsid w:val="00E412FF"/>
    <w:rsid w:val="00E44EFD"/>
    <w:rsid w:val="00E45711"/>
    <w:rsid w:val="00E462E4"/>
    <w:rsid w:val="00E50389"/>
    <w:rsid w:val="00E54A78"/>
    <w:rsid w:val="00E55CBA"/>
    <w:rsid w:val="00E56671"/>
    <w:rsid w:val="00E575C6"/>
    <w:rsid w:val="00E70C0D"/>
    <w:rsid w:val="00E715E0"/>
    <w:rsid w:val="00E71BCF"/>
    <w:rsid w:val="00E73466"/>
    <w:rsid w:val="00E76C90"/>
    <w:rsid w:val="00E8242D"/>
    <w:rsid w:val="00E844D1"/>
    <w:rsid w:val="00E9009D"/>
    <w:rsid w:val="00E90712"/>
    <w:rsid w:val="00E9487E"/>
    <w:rsid w:val="00E94C08"/>
    <w:rsid w:val="00EB3BC1"/>
    <w:rsid w:val="00EB7B92"/>
    <w:rsid w:val="00EC2CC5"/>
    <w:rsid w:val="00EC685F"/>
    <w:rsid w:val="00ED12DC"/>
    <w:rsid w:val="00EE04F9"/>
    <w:rsid w:val="00EF1644"/>
    <w:rsid w:val="00EF421F"/>
    <w:rsid w:val="00F00236"/>
    <w:rsid w:val="00F0038D"/>
    <w:rsid w:val="00F0505C"/>
    <w:rsid w:val="00F063C6"/>
    <w:rsid w:val="00F13DD1"/>
    <w:rsid w:val="00F20238"/>
    <w:rsid w:val="00F2389C"/>
    <w:rsid w:val="00F2412A"/>
    <w:rsid w:val="00F25454"/>
    <w:rsid w:val="00F3262E"/>
    <w:rsid w:val="00F35197"/>
    <w:rsid w:val="00F36A51"/>
    <w:rsid w:val="00F37E36"/>
    <w:rsid w:val="00F4106E"/>
    <w:rsid w:val="00F445E4"/>
    <w:rsid w:val="00F4711F"/>
    <w:rsid w:val="00F518C6"/>
    <w:rsid w:val="00F5362B"/>
    <w:rsid w:val="00F54E8B"/>
    <w:rsid w:val="00F56951"/>
    <w:rsid w:val="00F57F62"/>
    <w:rsid w:val="00F63108"/>
    <w:rsid w:val="00F64825"/>
    <w:rsid w:val="00F6541E"/>
    <w:rsid w:val="00F66FE7"/>
    <w:rsid w:val="00F7469D"/>
    <w:rsid w:val="00F7608F"/>
    <w:rsid w:val="00F76A32"/>
    <w:rsid w:val="00F77317"/>
    <w:rsid w:val="00F809BF"/>
    <w:rsid w:val="00F82E4F"/>
    <w:rsid w:val="00F854F0"/>
    <w:rsid w:val="00F86A06"/>
    <w:rsid w:val="00F87555"/>
    <w:rsid w:val="00F908E9"/>
    <w:rsid w:val="00F93CC9"/>
    <w:rsid w:val="00F95426"/>
    <w:rsid w:val="00F95D88"/>
    <w:rsid w:val="00FA0459"/>
    <w:rsid w:val="00FA2047"/>
    <w:rsid w:val="00FA527D"/>
    <w:rsid w:val="00FA552E"/>
    <w:rsid w:val="00FB0FBF"/>
    <w:rsid w:val="00FB1BDA"/>
    <w:rsid w:val="00FB31EE"/>
    <w:rsid w:val="00FB3613"/>
    <w:rsid w:val="00FB77D6"/>
    <w:rsid w:val="00FC020F"/>
    <w:rsid w:val="00FC2064"/>
    <w:rsid w:val="00FC517B"/>
    <w:rsid w:val="00FC6267"/>
    <w:rsid w:val="00FC693F"/>
    <w:rsid w:val="00FC6A08"/>
    <w:rsid w:val="00FD14CF"/>
    <w:rsid w:val="00FD2C19"/>
    <w:rsid w:val="00FD33FA"/>
    <w:rsid w:val="00FD3448"/>
    <w:rsid w:val="00FD3D16"/>
    <w:rsid w:val="00FD3E3F"/>
    <w:rsid w:val="00FD5127"/>
    <w:rsid w:val="00FD794A"/>
    <w:rsid w:val="00FE1692"/>
    <w:rsid w:val="00FE2248"/>
    <w:rsid w:val="00FE3440"/>
    <w:rsid w:val="00FE4189"/>
    <w:rsid w:val="00FF1E44"/>
    <w:rsid w:val="00FF24FC"/>
    <w:rsid w:val="00FF4EDE"/>
    <w:rsid w:val="00FF52E1"/>
    <w:rsid w:val="00FF64D1"/>
    <w:rsid w:val="151FFA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42BDF1"/>
  <w14:defaultImageDpi w14:val="330"/>
  <w15:docId w15:val="{D9E55B6C-C9AF-452D-8F01-A438D478463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hAnsiTheme="majorHAnsi" w:eastAsiaTheme="majorEastAsia"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hAnsiTheme="majorHAnsi" w:eastAsiaTheme="majorEastAsia"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hAnsiTheme="majorHAnsi" w:eastAsiaTheme="majorEastAsia"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hAnsiTheme="majorHAnsi" w:eastAsiaTheme="majorEastAsia"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hAnsiTheme="majorHAnsi" w:eastAsiaTheme="majorEastAsia"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hAnsiTheme="majorHAnsi" w:eastAsiaTheme="majorEastAsia" w:cstheme="majorBidi"/>
      <w:i/>
      <w:iCs/>
      <w:color w:val="404040" w:themeColor="text1" w:themeTint="BF"/>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styleId="HeaderChar" w:customStyle="1">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styleId="FooterChar" w:customStyle="1">
    <w:name w:val="Footer Char"/>
    <w:basedOn w:val="DefaultParagraphFont"/>
    <w:link w:val="Footer"/>
    <w:uiPriority w:val="99"/>
    <w:rsid w:val="00E618BF"/>
  </w:style>
  <w:style w:type="paragraph" w:styleId="NoSpacing">
    <w:name w:val="No Spacing"/>
    <w:link w:val="NoSpacingChar"/>
    <w:uiPriority w:val="1"/>
    <w:qFormat/>
    <w:rsid w:val="00FC693F"/>
    <w:pPr>
      <w:spacing w:after="0" w:line="240" w:lineRule="auto"/>
    </w:pPr>
  </w:style>
  <w:style w:type="character" w:styleId="Heading1Char" w:customStyle="1">
    <w:name w:val="Heading 1 Char"/>
    <w:basedOn w:val="DefaultParagraphFont"/>
    <w:link w:val="Heading1"/>
    <w:uiPriority w:val="9"/>
    <w:rsid w:val="00FC693F"/>
    <w:rPr>
      <w:rFonts w:asciiTheme="majorHAnsi" w:hAnsiTheme="majorHAnsi" w:eastAsiaTheme="majorEastAsia" w:cstheme="majorBidi"/>
      <w:b/>
      <w:bCs/>
      <w:color w:val="365F91" w:themeColor="accent1" w:themeShade="BF"/>
      <w:sz w:val="28"/>
      <w:szCs w:val="28"/>
    </w:rPr>
  </w:style>
  <w:style w:type="character" w:styleId="Heading2Char" w:customStyle="1">
    <w:name w:val="Heading 2 Char"/>
    <w:basedOn w:val="DefaultParagraphFont"/>
    <w:link w:val="Heading2"/>
    <w:uiPriority w:val="9"/>
    <w:rsid w:val="00FC693F"/>
    <w:rPr>
      <w:rFonts w:asciiTheme="majorHAnsi" w:hAnsiTheme="majorHAnsi" w:eastAsiaTheme="majorEastAsia" w:cstheme="majorBidi"/>
      <w:b/>
      <w:bCs/>
      <w:color w:val="4F81BD" w:themeColor="accent1"/>
      <w:sz w:val="26"/>
      <w:szCs w:val="26"/>
    </w:rPr>
  </w:style>
  <w:style w:type="character" w:styleId="Heading3Char" w:customStyle="1">
    <w:name w:val="Heading 3 Char"/>
    <w:basedOn w:val="DefaultParagraphFont"/>
    <w:link w:val="Heading3"/>
    <w:uiPriority w:val="9"/>
    <w:rsid w:val="00FC693F"/>
    <w:rPr>
      <w:rFonts w:asciiTheme="majorHAnsi" w:hAnsiTheme="majorHAnsi" w:eastAsiaTheme="majorEastAsia" w:cstheme="majorBidi"/>
      <w:b/>
      <w:bCs/>
      <w:color w:val="4F81BD" w:themeColor="accent1"/>
    </w:rPr>
  </w:style>
  <w:style w:type="paragraph" w:styleId="Title">
    <w:name w:val="Title"/>
    <w:basedOn w:val="Normal"/>
    <w:next w:val="Normal"/>
    <w:link w:val="TitleChar"/>
    <w:uiPriority w:val="10"/>
    <w:qFormat/>
    <w:rsid w:val="00FC693F"/>
    <w:pPr>
      <w:pBdr>
        <w:bottom w:val="single" w:color="4F81BD" w:themeColor="accent1" w:sz="8" w:space="4"/>
      </w:pBdr>
      <w:spacing w:after="300" w:line="240" w:lineRule="auto"/>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1">
    <w:name w:val="Title Char"/>
    <w:basedOn w:val="DefaultParagraphFont"/>
    <w:link w:val="Title"/>
    <w:uiPriority w:val="10"/>
    <w:rsid w:val="00FC693F"/>
    <w:rPr>
      <w:rFonts w:asciiTheme="majorHAnsi" w:hAnsiTheme="majorHAnsi" w:eastAsiaTheme="majorEastAsia"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hAnsiTheme="majorHAnsi" w:eastAsiaTheme="majorEastAsia" w:cstheme="majorBidi"/>
      <w:i/>
      <w:iCs/>
      <w:color w:val="4F81BD" w:themeColor="accent1"/>
      <w:spacing w:val="15"/>
      <w:sz w:val="24"/>
      <w:szCs w:val="24"/>
    </w:rPr>
  </w:style>
  <w:style w:type="character" w:styleId="SubtitleChar" w:customStyle="1">
    <w:name w:val="Subtitle Char"/>
    <w:basedOn w:val="DefaultParagraphFont"/>
    <w:link w:val="Subtitle"/>
    <w:uiPriority w:val="11"/>
    <w:rsid w:val="00FC693F"/>
    <w:rPr>
      <w:rFonts w:asciiTheme="majorHAnsi" w:hAnsiTheme="majorHAnsi" w:eastAsiaTheme="majorEastAsia" w:cstheme="majorBidi"/>
      <w:i/>
      <w:iCs/>
      <w:color w:val="4F81BD" w:themeColor="accent1"/>
      <w:spacing w:val="15"/>
      <w:sz w:val="24"/>
      <w:szCs w:val="24"/>
    </w:rPr>
  </w:style>
  <w:style w:type="paragraph" w:styleId="ListParagraph">
    <w:name w:val="List Paragraph"/>
    <w:aliases w:val="Table Legend,Bullet 1,Bullet List,Section 5"/>
    <w:basedOn w:val="Normal"/>
    <w:link w:val="ListParagraphChar"/>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styleId="BodyTextChar" w:customStyle="1">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styleId="BodyText2Char" w:customStyle="1">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styleId="BodyText3Char" w:customStyle="1">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4"/>
      </w:numPr>
      <w:contextualSpacing/>
    </w:pPr>
  </w:style>
  <w:style w:type="paragraph" w:styleId="ListNumber2">
    <w:name w:val="List Number 2"/>
    <w:basedOn w:val="Normal"/>
    <w:uiPriority w:val="99"/>
    <w:unhideWhenUsed/>
    <w:rsid w:val="0029639D"/>
    <w:pPr>
      <w:numPr>
        <w:numId w:val="5"/>
      </w:numPr>
      <w:contextualSpacing/>
    </w:pPr>
  </w:style>
  <w:style w:type="paragraph" w:styleId="ListNumber3">
    <w:name w:val="List Number 3"/>
    <w:basedOn w:val="Normal"/>
    <w:uiPriority w:val="99"/>
    <w:unhideWhenUsed/>
    <w:rsid w:val="0029639D"/>
    <w:pPr>
      <w:numPr>
        <w:numId w:val="6"/>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styleId="MacroTextChar" w:customStyle="1">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styleId="QuoteChar" w:customStyle="1">
    <w:name w:val="Quote Char"/>
    <w:basedOn w:val="DefaultParagraphFont"/>
    <w:link w:val="Quote"/>
    <w:uiPriority w:val="29"/>
    <w:rsid w:val="00FC693F"/>
    <w:rPr>
      <w:i/>
      <w:iCs/>
      <w:color w:val="000000" w:themeColor="text1"/>
    </w:rPr>
  </w:style>
  <w:style w:type="character" w:styleId="Heading4Char" w:customStyle="1">
    <w:name w:val="Heading 4 Char"/>
    <w:basedOn w:val="DefaultParagraphFont"/>
    <w:link w:val="Heading4"/>
    <w:uiPriority w:val="9"/>
    <w:semiHidden/>
    <w:rsid w:val="00FC693F"/>
    <w:rPr>
      <w:rFonts w:asciiTheme="majorHAnsi" w:hAnsiTheme="majorHAnsi" w:eastAsiaTheme="majorEastAsia" w:cstheme="majorBidi"/>
      <w:b/>
      <w:bCs/>
      <w:i/>
      <w:iCs/>
      <w:color w:val="4F81BD" w:themeColor="accent1"/>
    </w:rPr>
  </w:style>
  <w:style w:type="character" w:styleId="Heading5Char" w:customStyle="1">
    <w:name w:val="Heading 5 Char"/>
    <w:basedOn w:val="DefaultParagraphFont"/>
    <w:link w:val="Heading5"/>
    <w:uiPriority w:val="9"/>
    <w:semiHidden/>
    <w:rsid w:val="00FC693F"/>
    <w:rPr>
      <w:rFonts w:asciiTheme="majorHAnsi" w:hAnsiTheme="majorHAnsi" w:eastAsiaTheme="majorEastAsia" w:cstheme="majorBidi"/>
      <w:color w:val="243F60" w:themeColor="accent1" w:themeShade="7F"/>
    </w:rPr>
  </w:style>
  <w:style w:type="character" w:styleId="Heading6Char" w:customStyle="1">
    <w:name w:val="Heading 6 Char"/>
    <w:basedOn w:val="DefaultParagraphFont"/>
    <w:link w:val="Heading6"/>
    <w:uiPriority w:val="9"/>
    <w:semiHidden/>
    <w:rsid w:val="00FC693F"/>
    <w:rPr>
      <w:rFonts w:asciiTheme="majorHAnsi" w:hAnsiTheme="majorHAnsi" w:eastAsiaTheme="majorEastAsia" w:cstheme="majorBidi"/>
      <w:i/>
      <w:iCs/>
      <w:color w:val="243F60" w:themeColor="accent1" w:themeShade="7F"/>
    </w:rPr>
  </w:style>
  <w:style w:type="character" w:styleId="Heading7Char" w:customStyle="1">
    <w:name w:val="Heading 7 Char"/>
    <w:basedOn w:val="DefaultParagraphFont"/>
    <w:link w:val="Heading7"/>
    <w:uiPriority w:val="9"/>
    <w:semiHidden/>
    <w:rsid w:val="00FC693F"/>
    <w:rPr>
      <w:rFonts w:asciiTheme="majorHAnsi" w:hAnsiTheme="majorHAnsi" w:eastAsiaTheme="majorEastAsia" w:cstheme="majorBidi"/>
      <w:i/>
      <w:iCs/>
      <w:color w:val="404040" w:themeColor="text1" w:themeTint="BF"/>
    </w:rPr>
  </w:style>
  <w:style w:type="character" w:styleId="Heading8Char" w:customStyle="1">
    <w:name w:val="Heading 8 Char"/>
    <w:basedOn w:val="DefaultParagraphFont"/>
    <w:link w:val="Heading8"/>
    <w:uiPriority w:val="9"/>
    <w:semiHidden/>
    <w:rsid w:val="00FC693F"/>
    <w:rPr>
      <w:rFonts w:asciiTheme="majorHAnsi" w:hAnsiTheme="majorHAnsi" w:eastAsiaTheme="majorEastAsia" w:cstheme="majorBidi"/>
      <w:color w:val="4F81BD" w:themeColor="accent1"/>
      <w:sz w:val="20"/>
      <w:szCs w:val="20"/>
    </w:rPr>
  </w:style>
  <w:style w:type="character" w:styleId="Heading9Char" w:customStyle="1">
    <w:name w:val="Heading 9 Char"/>
    <w:basedOn w:val="DefaultParagraphFont"/>
    <w:link w:val="Heading9"/>
    <w:uiPriority w:val="9"/>
    <w:semiHidden/>
    <w:rsid w:val="00FC693F"/>
    <w:rPr>
      <w:rFonts w:asciiTheme="majorHAnsi" w:hAnsiTheme="majorHAnsi" w:eastAsiaTheme="majorEastAsia"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color="4F81BD" w:themeColor="accent1" w:sz="4" w:space="4"/>
      </w:pBdr>
      <w:spacing w:before="200" w:after="280"/>
      <w:ind w:left="936" w:right="936"/>
    </w:pPr>
    <w:rPr>
      <w:b/>
      <w:bCs/>
      <w:i/>
      <w:iCs/>
      <w:color w:val="4F81BD" w:themeColor="accent1"/>
    </w:rPr>
  </w:style>
  <w:style w:type="character" w:styleId="IntenseQuoteChar" w:customStyle="1">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unhideWhenUsed/>
    <w:qFormat/>
    <w:rsid w:val="00FC693F"/>
    <w:pPr>
      <w:outlineLvl w:val="9"/>
    </w:pPr>
  </w:style>
  <w:style w:type="table" w:styleId="TableGrid">
    <w:name w:val="Table Grid"/>
    <w:aliases w:val="Dossier table,Section 3- footnotes,Summary box,Legemiddelverket 3,Tabellengitternetz,Summary Table"/>
    <w:basedOn w:val="TableNormal"/>
    <w:uiPriority w:val="39"/>
    <w:rsid w:val="00FC693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color="4F81BD" w:themeColor="accent1" w:sz="8" w:space="0"/>
        <w:bottom w:val="single" w:color="4F81BD" w:themeColor="accent1" w:sz="8" w:space="0"/>
      </w:tblBorders>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color="C0504D" w:themeColor="accent2" w:sz="8" w:space="0"/>
        <w:bottom w:val="single" w:color="C0504D" w:themeColor="accent2" w:sz="8" w:space="0"/>
      </w:tblBorders>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color="9BBB59" w:themeColor="accent3" w:sz="8" w:space="0"/>
        <w:bottom w:val="single" w:color="9BBB59" w:themeColor="accent3" w:sz="8" w:space="0"/>
      </w:tblBorders>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color="8064A2" w:themeColor="accent4" w:sz="8" w:space="0"/>
        <w:bottom w:val="single" w:color="8064A2" w:themeColor="accent4" w:sz="8" w:space="0"/>
      </w:tblBorders>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color="4BACC6" w:themeColor="accent5" w:sz="8" w:space="0"/>
        <w:bottom w:val="single" w:color="4BACC6" w:themeColor="accent5" w:sz="8" w:space="0"/>
      </w:tblBorders>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color="F79646" w:themeColor="accent6" w:sz="8" w:space="0"/>
        <w:bottom w:val="single" w:color="F79646" w:themeColor="accent6" w:sz="8" w:space="0"/>
      </w:tblBorders>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color="000000" w:themeColor="tex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color="000000" w:themeColor="tex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C0C0C0"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shd w:val="clear" w:color="auto" w:fill="C0C0C0"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color="000000" w:themeColor="text1" w:sz="8" w:space="0"/>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color="4F81BD"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color="4F81BD"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color="4F81BD" w:themeColor="accent1" w:sz="8" w:space="0"/>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color="C0504D" w:themeColor="accent2"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color="C0504D" w:themeColor="accent2"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2"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shd w:val="clear" w:color="auto" w:fill="EFD3D2"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color="C0504D" w:themeColor="accent2" w:sz="8" w:space="0"/>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color="9BBB59" w:themeColor="accent3"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color="9BBB59" w:themeColor="accent3"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color="9BBB59" w:themeColor="accent3" w:sz="8" w:space="0"/>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color="8064A2" w:themeColor="accent4"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color="8064A2" w:themeColor="accent4"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color="8064A2" w:themeColor="accent4" w:sz="8" w:space="0"/>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color="4BACC6" w:themeColor="accent5"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color="4BACC6" w:themeColor="accent5"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1"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shd w:val="clear" w:color="auto" w:fill="D2EAF1"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color="4BACC6" w:themeColor="accent5" w:sz="8" w:space="0"/>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color="F79646"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color="F79646"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4D0"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shd w:val="clear" w:color="auto" w:fill="FDE4D0"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color="F79646" w:themeColor="accent6" w:sz="8" w:space="0"/>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tblBorders>
    </w:tblPr>
    <w:tblStylePr w:type="firstRow">
      <w:pPr>
        <w:spacing w:before="0" w:after="0" w:line="240" w:lineRule="auto"/>
      </w:pPr>
      <w:rPr>
        <w:b/>
        <w:bCs/>
        <w:color w:val="FFFFFF" w:themeColor="background1"/>
      </w:rPr>
      <w:tblPr/>
      <w:tcPr>
        <w:tc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404040" w:themeColor="text1" w:themeTint="BF" w:sz="6" w:space="0"/>
          <w:left w:val="single" w:color="404040" w:themeColor="text1" w:themeTint="BF" w:sz="8" w:space="0"/>
          <w:bottom w:val="single" w:color="404040" w:themeColor="text1" w:themeTint="BF" w:sz="8" w:space="0"/>
          <w:right w:val="single" w:color="404040"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Pr>
    <w:tblStylePr w:type="firstRow">
      <w:pPr>
        <w:spacing w:before="0" w:after="0" w:line="240" w:lineRule="auto"/>
      </w:pPr>
      <w:rPr>
        <w:b/>
        <w:bCs/>
        <w:color w:val="FFFFFF" w:themeColor="background1"/>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Pr>
    <w:tblStylePr w:type="firstRow">
      <w:pPr>
        <w:spacing w:before="0" w:after="0" w:line="240" w:lineRule="auto"/>
      </w:pPr>
      <w:rPr>
        <w:b/>
        <w:bCs/>
        <w:color w:val="FFFFFF" w:themeColor="background1"/>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tblBorders>
    </w:tblPr>
    <w:tblStylePr w:type="firstRow">
      <w:pPr>
        <w:spacing w:before="0" w:after="0" w:line="240" w:lineRule="auto"/>
      </w:pPr>
      <w:rPr>
        <w:b/>
        <w:bCs/>
        <w:color w:val="FFFFFF" w:themeColor="background1"/>
      </w:rPr>
      <w:tblPr/>
      <w:tcPr>
        <w:tc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3CC82" w:themeColor="accent3" w:themeTint="BF" w:sz="6" w:space="0"/>
          <w:left w:val="single" w:color="B3CC82" w:themeColor="accent3" w:themeTint="BF" w:sz="8" w:space="0"/>
          <w:bottom w:val="single" w:color="B3CC82" w:themeColor="accent3" w:themeTint="BF" w:sz="8" w:space="0"/>
          <w:right w:val="single" w:color="B3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Pr>
    <w:tblStylePr w:type="firstRow">
      <w:pPr>
        <w:spacing w:before="0" w:after="0" w:line="240" w:lineRule="auto"/>
      </w:pPr>
      <w:rPr>
        <w:b/>
        <w:bCs/>
        <w:color w:val="FFFFFF" w:themeColor="background1"/>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Pr>
    <w:tblStylePr w:type="firstRow">
      <w:pPr>
        <w:spacing w:before="0" w:after="0" w:line="240" w:lineRule="auto"/>
      </w:pPr>
      <w:rPr>
        <w:b/>
        <w:bCs/>
        <w:color w:val="FFFFFF" w:themeColor="background1"/>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Pr>
    <w:tblStylePr w:type="firstRow">
      <w:pPr>
        <w:spacing w:before="0" w:after="0" w:line="240" w:lineRule="auto"/>
      </w:pPr>
      <w:rPr>
        <w:b/>
        <w:bCs/>
        <w:color w:val="FFFFFF" w:themeColor="background1"/>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color="auto" w:sz="18" w:space="0"/>
        <w:bottom w:val="single" w:color="auto" w:sz="18" w:space="0"/>
      </w:tblBorders>
    </w:tblPr>
    <w:tblStylePr w:type="firstRow">
      <w:pPr>
        <w:spacing w:before="0" w:after="0" w:line="240" w:lineRule="auto"/>
      </w:pPr>
      <w:rPr>
        <w:b/>
        <w:bCs/>
        <w:color w:val="FFFFFF" w:themeColor="background1"/>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rPr>
      <w:tblPr/>
      <w:tcPr>
        <w:tcBorders>
          <w:top w:val="single" w:color="auto" w:sz="18" w:space="0"/>
          <w:left w:val="nil"/>
          <w:bottom w:val="single" w:color="auto" w:sz="18" w:space="0"/>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color="000000" w:themeColor="text1" w:sz="8" w:space="0"/>
        <w:bottom w:val="single" w:color="000000" w:themeColor="text1" w:sz="8" w:space="0"/>
      </w:tblBorders>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color="4F81BD" w:themeColor="accent1" w:sz="8" w:space="0"/>
        <w:bottom w:val="single" w:color="4F81BD" w:themeColor="accent1" w:sz="8" w:space="0"/>
      </w:tblBorders>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color="C0504D" w:themeColor="accent2" w:sz="8" w:space="0"/>
        <w:bottom w:val="single" w:color="C0504D" w:themeColor="accent2" w:sz="8" w:space="0"/>
      </w:tblBorders>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color="9BBB59" w:themeColor="accent3" w:sz="8" w:space="0"/>
        <w:bottom w:val="single" w:color="9BBB59" w:themeColor="accent3" w:sz="8" w:space="0"/>
      </w:tblBorders>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color="8064A2" w:themeColor="accent4" w:sz="8" w:space="0"/>
        <w:bottom w:val="single" w:color="8064A2" w:themeColor="accent4" w:sz="8" w:space="0"/>
      </w:tblBorders>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color="4BACC6" w:themeColor="accent5" w:sz="8" w:space="0"/>
        <w:bottom w:val="single" w:color="4BACC6" w:themeColor="accent5" w:sz="8" w:space="0"/>
      </w:tblBorders>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color="F79646" w:themeColor="accent6" w:sz="8" w:space="0"/>
        <w:bottom w:val="single" w:color="F79646" w:themeColor="accent6" w:sz="8" w:space="0"/>
      </w:tblBorders>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color="404040" w:themeColor="text1" w:themeTint="BF" w:sz="8" w:space="0"/>
        <w:left w:val="single" w:color="404040" w:themeColor="text1" w:themeTint="BF" w:sz="8" w:space="0"/>
        <w:bottom w:val="single" w:color="404040" w:themeColor="text1" w:themeTint="BF" w:sz="8" w:space="0"/>
        <w:right w:val="single" w:color="404040" w:themeColor="text1" w:themeTint="BF" w:sz="8" w:space="0"/>
        <w:insideH w:val="single" w:color="404040" w:themeColor="text1" w:themeTint="BF" w:sz="8" w:space="0"/>
        <w:insideV w:val="single" w:color="404040" w:themeColor="text1" w:themeTint="BF" w:sz="8" w:space="0"/>
      </w:tblBorders>
    </w:tblPr>
    <w:tcPr>
      <w:shd w:val="clear" w:color="auto" w:fill="C0C0C0" w:themeFill="text1" w:themeFillTint="3F"/>
    </w:tcPr>
    <w:tblStylePr w:type="firstRow">
      <w:rPr>
        <w:b/>
        <w:bCs/>
      </w:rPr>
    </w:tblStylePr>
    <w:tblStylePr w:type="lastRow">
      <w:rPr>
        <w:b/>
        <w:bCs/>
      </w:rPr>
      <w:tblPr/>
      <w:tcPr>
        <w:tcBorders>
          <w:top w:val="single" w:color="404040" w:themeColor="text1" w:themeTint="BF" w:sz="18" w:space="0"/>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Pr>
    <w:tcPr>
      <w:shd w:val="clear" w:color="auto" w:fill="EFD3D2"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color="B3CC82" w:themeColor="accent3" w:themeTint="BF" w:sz="8" w:space="0"/>
        <w:left w:val="single" w:color="B3CC82" w:themeColor="accent3" w:themeTint="BF" w:sz="8" w:space="0"/>
        <w:bottom w:val="single" w:color="B3CC82" w:themeColor="accent3" w:themeTint="BF" w:sz="8" w:space="0"/>
        <w:right w:val="single" w:color="B3CC82" w:themeColor="accent3" w:themeTint="BF" w:sz="8" w:space="0"/>
        <w:insideH w:val="single" w:color="B3CC82" w:themeColor="accent3" w:themeTint="BF" w:sz="8" w:space="0"/>
        <w:insideV w:val="single" w:color="B3CC82" w:themeColor="accent3" w:themeTint="BF" w:sz="8" w:space="0"/>
      </w:tblBorders>
    </w:tblPr>
    <w:tcPr>
      <w:shd w:val="clear" w:color="auto" w:fill="E6EED5" w:themeFill="accent3" w:themeFillTint="3F"/>
    </w:tcPr>
    <w:tblStylePr w:type="firstRow">
      <w:rPr>
        <w:b/>
        <w:bCs/>
      </w:rPr>
    </w:tblStylePr>
    <w:tblStylePr w:type="lastRow">
      <w:rPr>
        <w:b/>
        <w:bCs/>
      </w:rPr>
      <w:tblPr/>
      <w:tcPr>
        <w:tcBorders>
          <w:top w:val="single" w:color="B3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Pr>
    <w:tcPr>
      <w:shd w:val="clear" w:color="auto" w:fill="D2EAF1"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Pr>
    <w:tcPr>
      <w:shd w:val="clear" w:color="auto" w:fill="FDE4D0"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color="000000" w:themeColor="text1" w:sz="6" w:space="0"/>
          <w:insideV w:val="single" w:color="000000" w:themeColor="text1" w:sz="6" w:space="0"/>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color="4F81BD" w:themeColor="accent1" w:sz="6" w:space="0"/>
          <w:insideV w:val="single" w:color="4F81BD" w:themeColor="accent1" w:sz="6" w:space="0"/>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color="C0504D" w:themeColor="accent2" w:sz="6" w:space="0"/>
          <w:insideV w:val="single" w:color="C0504D" w:themeColor="accent2" w:sz="6" w:space="0"/>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color="9BBB59" w:themeColor="accent3" w:sz="6" w:space="0"/>
          <w:insideV w:val="single" w:color="9BBB59" w:themeColor="accent3" w:sz="6" w:space="0"/>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color="8064A2" w:themeColor="accent4" w:sz="6" w:space="0"/>
          <w:insideV w:val="single" w:color="8064A2" w:themeColor="accent4" w:sz="6" w:space="0"/>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color="4BACC6" w:themeColor="accent5" w:sz="6" w:space="0"/>
          <w:insideV w:val="single" w:color="4BACC6" w:themeColor="accent5" w:sz="6" w:space="0"/>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hAnsiTheme="majorHAnsi" w:eastAsiaTheme="majorEastAsia" w:cstheme="majorBidi"/>
      <w:color w:val="000000" w:themeColor="text1"/>
    </w:rPr>
    <w:tblPr>
      <w:tblStyleRowBandSize w:val="1"/>
      <w:tblStyleColBandSize w:val="1"/>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color="F79646" w:themeColor="accent6" w:sz="6" w:space="0"/>
          <w:insideV w:val="single" w:color="F79646" w:themeColor="accent6" w:sz="6" w:space="0"/>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C0C0C0" w:themeFill="tex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000000" w:themeFill="tex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000000" w:themeFill="tex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808080"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FD3D2" w:themeFill="accent2"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C0504D" w:themeFill="accent2"/>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C0504D" w:themeFill="accent2"/>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6EED5" w:themeFill="accent3"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9BBB59" w:themeFill="accent3"/>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9BBB59" w:themeFill="accent3"/>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FD8E8" w:themeFill="accent4"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8064A2" w:themeFill="accent4"/>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8064A2" w:themeFill="accent4"/>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2EAF1" w:themeFill="accent5"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BACC6" w:themeFill="accent5"/>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BACC6" w:themeFill="accent5"/>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FDE4D0" w:themeFill="accent6"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F79646" w:themeFill="accent6"/>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F79646" w:themeFill="accent6"/>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5F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6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A"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u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Pr>
    <w:tcPr>
      <w:shd w:val="clear" w:color="auto" w:fill="E6E6E6"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color="000000" w:themeColor="text1" w:themeShade="99" w:sz="4" w:space="0"/>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color="2C4C74" w:themeColor="accent1" w:themeShade="99" w:sz="4" w:space="0"/>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color="772C2A" w:themeColor="accent2" w:themeShade="99" w:sz="4" w:space="0"/>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color="5E7530" w:themeColor="accent3" w:themeShade="99" w:sz="4" w:space="0"/>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u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Pr>
    <w:tcPr>
      <w:shd w:val="clear" w:color="auto" w:fill="F2EFF6"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color="4C3B62" w:themeColor="accent4" w:themeShade="99" w:sz="4" w:space="0"/>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color="276A7C" w:themeColor="accent5" w:themeShade="99" w:sz="4" w:space="0"/>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rPr>
      <w:tblPr/>
      <w:tcPr>
        <w:tcBorders>
          <w:top w:val="single" w:color="FFFFFF" w:themeColor="background1" w:sz="6" w:space="0"/>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color="B65608" w:themeColor="accent6" w:themeShade="99" w:sz="4" w:space="0"/>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u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color="FFFFFF" w:themeColor="background1" w:sz="12" w:space="0"/>
        </w:tcBorders>
        <w:shd w:val="clear" w:color="auto" w:fill="9E3A38" w:themeFill="accent2" w:themeFillShade="CC"/>
      </w:tcPr>
    </w:tblStylePr>
    <w:tblStylePr w:type="lastRow">
      <w:rPr>
        <w:b/>
        <w:bCs/>
        <w:color w:val="9E3A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u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color="FFFFFF" w:themeColor="background1" w:sz="12" w:space="0"/>
        </w:tcBorders>
        <w:shd w:val="clear" w:color="auto" w:fill="664E82" w:themeFill="accent4" w:themeFillShade="CC"/>
      </w:tcPr>
    </w:tblStylePr>
    <w:tblStylePr w:type="lastRow">
      <w:rPr>
        <w:b/>
        <w:bCs/>
        <w:color w:val="664E82"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u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color="FFFFFF" w:themeColor="background1" w:sz="12" w:space="0"/>
        </w:tcBorders>
        <w:shd w:val="clear" w:color="auto" w:fill="7E9C40" w:themeFill="accent3" w:themeFillShade="CC"/>
      </w:tcPr>
    </w:tblStylePr>
    <w:tblStylePr w:type="lastRow">
      <w:rPr>
        <w:b/>
        <w:bCs/>
        <w:color w:val="7E9C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u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color="FFFFFF" w:themeColor="background1" w:sz="12" w:space="0"/>
        </w:tcBorders>
        <w:shd w:val="clear" w:color="auto" w:fill="F2730A" w:themeFill="accent6" w:themeFillShade="CC"/>
      </w:tcPr>
    </w:tblStylePr>
    <w:tblStylePr w:type="lastRow">
      <w:rPr>
        <w:b/>
        <w:bCs/>
        <w:color w:val="F2730A"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u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color="FFFFFF" w:themeColor="background1" w:sz="12" w:space="0"/>
        </w:tcBorders>
        <w:shd w:val="clear" w:color="auto" w:fill="348DA5" w:themeFill="accent5" w:themeFillShade="CC"/>
      </w:tcPr>
    </w:tblStylePr>
    <w:tblStylePr w:type="lastRow">
      <w:rPr>
        <w:b/>
        <w:bCs/>
        <w:color w:val="348DA5"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u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u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u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u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u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u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NoSpacingChar" w:customStyle="1">
    <w:name w:val="No Spacing Char"/>
    <w:basedOn w:val="DefaultParagraphFont"/>
    <w:link w:val="NoSpacing"/>
    <w:uiPriority w:val="1"/>
    <w:rsid w:val="002238F7"/>
  </w:style>
  <w:style w:type="character" w:styleId="Hyperlink">
    <w:name w:val="Hyperlink"/>
    <w:uiPriority w:val="99"/>
    <w:unhideWhenUsed/>
    <w:rsid w:val="00803CB0"/>
    <w:rPr>
      <w:color w:val="0023C8"/>
      <w:u w:val="single"/>
    </w:rPr>
  </w:style>
  <w:style w:type="character" w:styleId="UnresolvedMention">
    <w:name w:val="Unresolved Mention"/>
    <w:basedOn w:val="DefaultParagraphFont"/>
    <w:uiPriority w:val="99"/>
    <w:semiHidden/>
    <w:unhideWhenUsed/>
    <w:rsid w:val="00871B90"/>
    <w:rPr>
      <w:color w:val="605E5C"/>
      <w:shd w:val="clear" w:color="auto" w:fill="E1DFDD"/>
    </w:rPr>
  </w:style>
  <w:style w:type="paragraph" w:styleId="EndNoteBibliographyTitle" w:customStyle="1">
    <w:name w:val="EndNote Bibliography Title"/>
    <w:basedOn w:val="Normal"/>
    <w:link w:val="EndNoteBibliographyTitleChar"/>
    <w:rsid w:val="0091047D"/>
    <w:pPr>
      <w:spacing w:after="0"/>
      <w:jc w:val="center"/>
    </w:pPr>
    <w:rPr>
      <w:rFonts w:ascii="Cambria" w:hAnsi="Cambria"/>
      <w:noProof/>
      <w:sz w:val="20"/>
    </w:rPr>
  </w:style>
  <w:style w:type="character" w:styleId="EndNoteBibliographyTitleChar" w:customStyle="1">
    <w:name w:val="EndNote Bibliography Title Char"/>
    <w:basedOn w:val="DefaultParagraphFont"/>
    <w:link w:val="EndNoteBibliographyTitle"/>
    <w:rsid w:val="0091047D"/>
    <w:rPr>
      <w:rFonts w:ascii="Cambria" w:hAnsi="Cambria"/>
      <w:noProof/>
      <w:sz w:val="20"/>
    </w:rPr>
  </w:style>
  <w:style w:type="paragraph" w:styleId="EndNoteBibliography" w:customStyle="1">
    <w:name w:val="EndNote Bibliography"/>
    <w:basedOn w:val="Normal"/>
    <w:link w:val="EndNoteBibliographyChar"/>
    <w:rsid w:val="0091047D"/>
    <w:pPr>
      <w:spacing w:line="240" w:lineRule="auto"/>
    </w:pPr>
    <w:rPr>
      <w:rFonts w:ascii="Cambria" w:hAnsi="Cambria"/>
      <w:noProof/>
      <w:sz w:val="20"/>
    </w:rPr>
  </w:style>
  <w:style w:type="character" w:styleId="EndNoteBibliographyChar" w:customStyle="1">
    <w:name w:val="EndNote Bibliography Char"/>
    <w:basedOn w:val="DefaultParagraphFont"/>
    <w:link w:val="EndNoteBibliography"/>
    <w:rsid w:val="0091047D"/>
    <w:rPr>
      <w:rFonts w:ascii="Cambria" w:hAnsi="Cambria"/>
      <w:noProof/>
      <w:sz w:val="20"/>
    </w:rPr>
  </w:style>
  <w:style w:type="character" w:styleId="ListParagraphChar" w:customStyle="1">
    <w:name w:val="List Paragraph Char"/>
    <w:aliases w:val="Table Legend Char,Bullet 1 Char,Bullet List Char,Section 5 Char"/>
    <w:link w:val="ListParagraph"/>
    <w:uiPriority w:val="34"/>
    <w:rsid w:val="008D76EF"/>
  </w:style>
  <w:style w:type="paragraph" w:styleId="Default" w:customStyle="1">
    <w:name w:val="Default"/>
    <w:rsid w:val="00AB5011"/>
    <w:pPr>
      <w:autoSpaceDE w:val="0"/>
      <w:autoSpaceDN w:val="0"/>
      <w:adjustRightInd w:val="0"/>
      <w:spacing w:after="0" w:line="240" w:lineRule="auto"/>
    </w:pPr>
    <w:rPr>
      <w:rFonts w:ascii="Arial" w:hAnsi="Arial" w:cs="Arial"/>
      <w:color w:val="000000"/>
      <w:sz w:val="24"/>
      <w:szCs w:val="24"/>
    </w:rPr>
  </w:style>
  <w:style w:type="paragraph" w:styleId="TOC1">
    <w:name w:val="toc 1"/>
    <w:basedOn w:val="Normal"/>
    <w:next w:val="Normal"/>
    <w:autoRedefine/>
    <w:uiPriority w:val="39"/>
    <w:unhideWhenUsed/>
    <w:rsid w:val="00E412FF"/>
    <w:pPr>
      <w:tabs>
        <w:tab w:val="left" w:pos="480"/>
        <w:tab w:val="right" w:leader="dot" w:pos="8630"/>
      </w:tabs>
      <w:spacing w:before="60" w:after="60" w:line="240" w:lineRule="auto"/>
    </w:pPr>
    <w:rPr>
      <w:rFonts w:ascii="Poppins" w:hAnsi="Poppins" w:cs="Poppins"/>
      <w:b/>
      <w:bCs/>
      <w:noProof/>
      <w:color w:val="0023C8"/>
      <w:sz w:val="18"/>
      <w:szCs w:val="18"/>
    </w:rPr>
  </w:style>
  <w:style w:type="paragraph" w:styleId="TOC2">
    <w:name w:val="toc 2"/>
    <w:basedOn w:val="Normal"/>
    <w:next w:val="Normal"/>
    <w:autoRedefine/>
    <w:uiPriority w:val="39"/>
    <w:unhideWhenUsed/>
    <w:rsid w:val="00C153A3"/>
    <w:pPr>
      <w:tabs>
        <w:tab w:val="right" w:leader="dot" w:pos="8630"/>
      </w:tabs>
      <w:spacing w:before="60" w:after="60"/>
      <w:ind w:left="220"/>
    </w:pPr>
  </w:style>
  <w:style w:type="paragraph" w:styleId="Revision">
    <w:name w:val="Revision"/>
    <w:hidden/>
    <w:uiPriority w:val="99"/>
    <w:semiHidden/>
    <w:rsid w:val="00F76A32"/>
    <w:pPr>
      <w:spacing w:after="0" w:line="240" w:lineRule="auto"/>
    </w:pPr>
  </w:style>
  <w:style w:type="character" w:styleId="CommentReference">
    <w:name w:val="Comment Reference"/>
    <w:basedOn w:val="DefaultParagraphFont"/>
    <w:uiPriority w:val="99"/>
    <w:semiHidden/>
    <w:unhideWhenUsed/>
    <w:rsid w:val="00D63E8F"/>
    <w:rPr>
      <w:sz w:val="16"/>
      <w:szCs w:val="16"/>
    </w:rPr>
  </w:style>
  <w:style w:type="paragraph" w:styleId="CommentText">
    <w:name w:val="Comment Text"/>
    <w:basedOn w:val="Normal"/>
    <w:link w:val="CommentTextChar"/>
    <w:uiPriority w:val="99"/>
    <w:unhideWhenUsed/>
    <w:rsid w:val="00D63E8F"/>
    <w:pPr>
      <w:spacing w:line="240" w:lineRule="auto"/>
    </w:pPr>
    <w:rPr>
      <w:sz w:val="20"/>
      <w:szCs w:val="20"/>
    </w:rPr>
  </w:style>
  <w:style w:type="character" w:styleId="CommentTextChar" w:customStyle="1">
    <w:name w:val="Comment Text Char"/>
    <w:basedOn w:val="DefaultParagraphFont"/>
    <w:link w:val="CommentText"/>
    <w:uiPriority w:val="99"/>
    <w:rsid w:val="00D63E8F"/>
    <w:rPr>
      <w:sz w:val="20"/>
      <w:szCs w:val="20"/>
    </w:rPr>
  </w:style>
  <w:style w:type="paragraph" w:styleId="CommentSubject">
    <w:name w:val="Comment Subject"/>
    <w:basedOn w:val="CommentText"/>
    <w:next w:val="CommentText"/>
    <w:link w:val="CommentSubjectChar"/>
    <w:uiPriority w:val="99"/>
    <w:semiHidden/>
    <w:unhideWhenUsed/>
    <w:rsid w:val="00D63E8F"/>
    <w:rPr>
      <w:b/>
      <w:bCs/>
    </w:rPr>
  </w:style>
  <w:style w:type="character" w:styleId="CommentSubjectChar" w:customStyle="1">
    <w:name w:val="Comment Subject Char"/>
    <w:basedOn w:val="CommentTextChar"/>
    <w:link w:val="CommentSubject"/>
    <w:uiPriority w:val="99"/>
    <w:semiHidden/>
    <w:rsid w:val="00D63E8F"/>
    <w:rPr>
      <w:b/>
      <w:bCs/>
      <w:sz w:val="20"/>
      <w:szCs w:val="20"/>
    </w:rPr>
  </w:style>
  <w:style w:type="character" w:styleId="FollowedHyperlink">
    <w:name w:val="FollowedHyperlink"/>
    <w:basedOn w:val="DefaultParagraphFont"/>
    <w:uiPriority w:val="99"/>
    <w:semiHidden/>
    <w:unhideWhenUsed/>
    <w:rsid w:val="00DA548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&#65279;<?xml version="1.0" encoding="utf-8"?><Relationships xmlns="http://schemas.openxmlformats.org/package/2006/relationships"><Relationship Type="http://schemas.openxmlformats.org/officeDocument/2006/relationships/hyperlink" Target="http://www.mhra.gov.uk/yellowcard" TargetMode="External" Id="rId13" /><Relationship Type="http://schemas.openxmlformats.org/officeDocument/2006/relationships/header" Target="header1.xml" Id="rId18" /><Relationship Type="http://schemas.openxmlformats.org/officeDocument/2006/relationships/hyperlink" Target="https://diatribe.org/diabetes-medications/fda-approves-tzield-teplizumab-delay-type-1-diabetes" TargetMode="External" Id="rId26" /><Relationship Type="http://schemas.openxmlformats.org/officeDocument/2006/relationships/hyperlink" Target="https://www.nice.org.uk/news/articles/-artificial-pancreas-transforming-lives-of-thousands-of-children-and-young-people-with-type-1-diabetes" TargetMode="External" Id="rId39" /><Relationship Type="http://schemas.openxmlformats.org/officeDocument/2006/relationships/header" Target="header3.xml" Id="rId21" /><Relationship Type="http://schemas.openxmlformats.org/officeDocument/2006/relationships/hyperlink" Target="https://www.england.nhs.uk/long-read/2025-26-priorities-and-operational-planning-guidance/" TargetMode="External" Id="rId34" /><Relationship Type="http://schemas.openxmlformats.org/officeDocument/2006/relationships/hyperlink" Target="https://bnf.nice.org.uk/drugs/glucose/medicinal-forms/" TargetMode="External" Id="rId42" /><Relationship Type="http://schemas.openxmlformats.org/officeDocument/2006/relationships/hyperlink" Target="file:///\\gb-nasuni.globalservs.com\gb-Nasuni\Havas%20M&amp;C\Clients%20-%20Pharma\Sanofi\Tzield%20(teplizumab)\7253%20-%206234%20-%20Sanofi%20-%20Tzield%20-%20Infusion%20service%20business%20case%20template\Design%20Files\www.nice.org.uk\guidance\ng18" TargetMode="External" Id="rId47" /><Relationship Type="http://schemas.openxmlformats.org/officeDocument/2006/relationships/hyperlink" Target="https://www.rcpch.ac.uk/sites/default/files/2026-03/npda_2024-25_report_on_care_and_outcomes.pdf" TargetMode="External" Id="rId50" /><Relationship Type="http://schemas.openxmlformats.org/officeDocument/2006/relationships/hyperlink" Target="http://www.mhra.gov.uk/yellowcard" TargetMode="External" Id="rId55"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2.png" Id="rId16" /><Relationship Type="http://schemas.openxmlformats.org/officeDocument/2006/relationships/hyperlink" Target="https://www.nhsbsa.nhs.uk/statistical-collections/prescribing-diabetes-england/prescribing-diabetes-england-201516-202223" TargetMode="External" Id="rId29" /><Relationship Type="http://schemas.openxmlformats.org/officeDocument/2006/relationships/hyperlink" Target="http://www.mhra.gov.uk/yellowcard" TargetMode="External" Id="rId11" /><Relationship Type="http://schemas.openxmlformats.org/officeDocument/2006/relationships/hyperlink" Target="https://www.diabetes.org.uk/about-us/news-and-views/new-blood-sugar-data-reveals-worsening-inequalities-type-1-diabetes" TargetMode="External" Id="rId24" /><Relationship Type="http://schemas.openxmlformats.org/officeDocument/2006/relationships/hyperlink" Target="https://www.england.nhs.uk/greenernhs/wp-content/uploads/sites/51/2022/07/B1728-delivering-a-net-zero-nhs-july-2022.pdf" TargetMode="External" Id="rId32" /><Relationship Type="http://schemas.openxmlformats.org/officeDocument/2006/relationships/hyperlink" Target="https://www.nice.org.uk/guidance/ng43/evidence/appendix-c3-economic-report-pdf-2360240178" TargetMode="External" Id="rId37" /><Relationship Type="http://schemas.openxmlformats.org/officeDocument/2006/relationships/hyperlink" Target="https://www.nice.org.uk/guidance/gid-ta10981/documents/committee-papers" TargetMode="External" Id="rId40" /><Relationship Type="http://schemas.openxmlformats.org/officeDocument/2006/relationships/hyperlink" Target="https://cks.nice.org.uk/topics/diabetes-type-1/background-information/complications" TargetMode="External" Id="rId45" /><Relationship Type="http://schemas.openxmlformats.org/officeDocument/2006/relationships/footer" Target="footer3.xml" Id="rId53" /><Relationship Type="http://schemas.openxmlformats.org/officeDocument/2006/relationships/theme" Target="theme/theme1.xml" Id="rId58" /><Relationship Type="http://schemas.openxmlformats.org/officeDocument/2006/relationships/numbering" Target="numbering.xml" Id="rId5" /><Relationship Type="http://schemas.openxmlformats.org/officeDocument/2006/relationships/header" Target="header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UKdrugsafety@sanofi.com" TargetMode="External" Id="rId14" /><Relationship Type="http://schemas.openxmlformats.org/officeDocument/2006/relationships/footer" Target="footer2.xml" Id="rId22" /><Relationship Type="http://schemas.openxmlformats.org/officeDocument/2006/relationships/hyperlink" Target="https://www.exeterlaboratory.com/test/gad%20antibodies/" TargetMode="External" Id="rId27" /><Relationship Type="http://schemas.openxmlformats.org/officeDocument/2006/relationships/hyperlink" Target="https://www.nhsconfed.org/publications/guide-unlocking-prevention-ICSs" TargetMode="External" Id="rId30" /><Relationship Type="http://schemas.openxmlformats.org/officeDocument/2006/relationships/hyperlink" Target="https://www.england.nhs.uk/publication/2026-27-nhs-payment-scheme/" TargetMode="External" Id="rId35" /><Relationship Type="http://schemas.openxmlformats.org/officeDocument/2006/relationships/hyperlink" Target="https://bnf.nice.org.uk/drugs/ibuprofen/medicinal-forms/" TargetMode="External" Id="rId43" /><Relationship Type="http://schemas.openxmlformats.org/officeDocument/2006/relationships/hyperlink" Target="https://www.ons.gov.uk/peoplepopulationandcommunity/populationandmigration/populationestimates/datasets/populationestimatesforukenglandandwalesscotlandandnorthernireland" TargetMode="External" Id="rId48" /><Relationship Type="http://schemas.openxmlformats.org/officeDocument/2006/relationships/hyperlink" Target="mailto:UK-drugsafety@sanofi.com" TargetMode="External" Id="rId56" /><Relationship Type="http://schemas.openxmlformats.org/officeDocument/2006/relationships/webSettings" Target="webSettings.xml" Id="rId8" /><Relationship Type="http://schemas.openxmlformats.org/officeDocument/2006/relationships/hyperlink" Target="https://www.kingsfund.org.uk/insight-and-analysis/long-reads/tackling-health-inequalities-seven-priorities-nhs" TargetMode="External" Id="rId51" /><Relationship Type="http://schemas.openxmlformats.org/officeDocument/2006/relationships/customXml" Target="../customXml/item3.xml" Id="rId3" /><Relationship Type="http://schemas.openxmlformats.org/officeDocument/2006/relationships/hyperlink" Target="mailto:UKdrugsafety@sanofi.com" TargetMode="External" Id="rId12" /><Relationship Type="http://schemas.openxmlformats.org/officeDocument/2006/relationships/image" Target="media/image3.svg" Id="rId17" /><Relationship Type="http://schemas.openxmlformats.org/officeDocument/2006/relationships/hyperlink" Target="https://www.diabetes.co.uk/cost-of-diabetes.html" TargetMode="External" Id="rId25" /><Relationship Type="http://schemas.openxmlformats.org/officeDocument/2006/relationships/hyperlink" Target="https://www.england.nhs.uk/long-read/population-health-management/" TargetMode="External" Id="rId33" /><Relationship Type="http://schemas.openxmlformats.org/officeDocument/2006/relationships/hyperlink" Target="https://www.nice.org.uk/guidance/ta943" TargetMode="External" Id="rId38" /><Relationship Type="http://schemas.openxmlformats.org/officeDocument/2006/relationships/hyperlink" Target="https://www.nice.org.uk/guidance/ng17" TargetMode="External" Id="rId46" /><Relationship Type="http://schemas.openxmlformats.org/officeDocument/2006/relationships/footer" Target="footer1.xml" Id="rId20" /><Relationship Type="http://schemas.openxmlformats.org/officeDocument/2006/relationships/hyperlink" Target="https://bnf.nice.org.uk/drugs/cetirizine-hydrochloride/medicinal-forms/" TargetMode="External" Id="rId41" /><Relationship Type="http://schemas.openxmlformats.org/officeDocument/2006/relationships/footer" Target="footer4.xml" Id="rId54"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5" /><Relationship Type="http://schemas.openxmlformats.org/officeDocument/2006/relationships/hyperlink" Target="https://www.diabetes.org.uk/living-with-diabetes/emotional-wellbeing" TargetMode="External" Id="rId23" /><Relationship Type="http://schemas.openxmlformats.org/officeDocument/2006/relationships/hyperlink" Target="https://www.fph.org.uk/media/u1ofhkao/fph-the-role-of-the-nhs-in-prevention.pdf" TargetMode="External" Id="rId28" /><Relationship Type="http://schemas.openxmlformats.org/officeDocument/2006/relationships/hyperlink" Target="https://www.nhs.uk/conditions/type-1-diabetes/symptoms" TargetMode="External" Id="rId36" /><Relationship Type="http://schemas.openxmlformats.org/officeDocument/2006/relationships/hyperlink" Target="https://pssru.ac.uk/project-pages/unit-costs/unit-costs-of-health-and-social-care-2024/" TargetMode="External" Id="rId49" /><Relationship Type="http://schemas.openxmlformats.org/officeDocument/2006/relationships/fontTable" Target="fontTable.xml" Id="rId57" /><Relationship Type="http://schemas.openxmlformats.org/officeDocument/2006/relationships/endnotes" Target="endnotes.xml" Id="rId10" /><Relationship Type="http://schemas.openxmlformats.org/officeDocument/2006/relationships/hyperlink" Target="https://www.nhsemployers.org/articles/pay-scales-202627" TargetMode="External" Id="rId31" /><Relationship Type="http://schemas.openxmlformats.org/officeDocument/2006/relationships/hyperlink" Target="https://bnf.nice.org.uk/drugs/ondansetron/medicinal-forms/" TargetMode="External" Id="rId44" /><Relationship Type="http://schemas.openxmlformats.org/officeDocument/2006/relationships/hyperlink" Target="https://assets.publishing.service.gov.uk/media/6866387fe6557c544c74db7a/fit-for-the-future-10-year-health-plan-for-england.pdf" TargetMode="External" Id="rId52" /></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EE446D13D2E24394487710106E5104" ma:contentTypeVersion="9" ma:contentTypeDescription="Create a new document." ma:contentTypeScope="" ma:versionID="e4ecdac55ee298587dedebc15cb5c754">
  <xsd:schema xmlns:xsd="http://www.w3.org/2001/XMLSchema" xmlns:xs="http://www.w3.org/2001/XMLSchema" xmlns:p="http://schemas.microsoft.com/office/2006/metadata/properties" xmlns:ns2="6ec2bf42-4f8c-4467-87a0-464b6ea2e3f4" targetNamespace="http://schemas.microsoft.com/office/2006/metadata/properties" ma:root="true" ma:fieldsID="ebe4dbe7ce18c630a95dfc01c546b669" ns2:_="">
    <xsd:import namespace="6ec2bf42-4f8c-4467-87a0-464b6ea2e3f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c2bf42-4f8c-4467-87a0-464b6ea2e3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BillingMetadata" ma:index="1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4159FAF-5B10-4C58-B704-E2094AD6B5AA}">
  <ds:schemaRefs>
    <ds:schemaRef ds:uri="http://schemas.microsoft.com/office/2006/metadata/properties"/>
    <ds:schemaRef ds:uri="http://schemas.microsoft.com/office/infopath/2007/PartnerControls"/>
    <ds:schemaRef ds:uri="f12d4896-05c7-4f29-9446-125b80c52fd1"/>
    <ds:schemaRef ds:uri="5c4ef8ca-5dfd-488e-8a18-baa8b70b57fd"/>
  </ds:schemaRefs>
</ds:datastoreItem>
</file>

<file path=customXml/itemProps2.xml><?xml version="1.0" encoding="utf-8"?>
<ds:datastoreItem xmlns:ds="http://schemas.openxmlformats.org/officeDocument/2006/customXml" ds:itemID="{E3A5FB6F-EABB-45C2-9083-2521ADE8B2B9}"/>
</file>

<file path=customXml/itemProps3.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4.xml><?xml version="1.0" encoding="utf-8"?>
<ds:datastoreItem xmlns:ds="http://schemas.openxmlformats.org/officeDocument/2006/customXml" ds:itemID="{4DFB0387-ECCF-4B49-9410-D59C08FF8797}">
  <ds:schemaRefs>
    <ds:schemaRef ds:uri="http://schemas.microsoft.com/sharepoint/v3/contenttype/forms"/>
  </ds:schemaRefs>
</ds:datastoreItem>
</file>

<file path=docMetadata/LabelInfo.xml><?xml version="1.0" encoding="utf-8"?>
<clbl:labelList xmlns:clbl="http://schemas.microsoft.com/office/2020/mipLabelMetadata">
  <clbl:label id="{9e3dcb88-8425-4e1d-b1a3-bd5572915bbc}" enabled="1" method="Privileged" siteId="{aca3c8d6-aa71-4e1a-a10e-03572fc58c0b}"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Business case template for the delivery of TZIELD</dc:title>
  <dc:subject/>
  <dc:creator>python-docx</dc:creator>
  <keywords/>
  <dc:description>generated by python-docx</dc:description>
  <lastModifiedBy>Goli, Reena /IN</lastModifiedBy>
  <revision>5</revision>
  <lastPrinted>2026-04-14T11:07:00.0000000Z</lastPrinted>
  <dcterms:created xsi:type="dcterms:W3CDTF">2026-05-11T10:49:00.0000000Z</dcterms:created>
  <dcterms:modified xsi:type="dcterms:W3CDTF">2026-05-12T05:48:25.1344555Z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631b8d0f,4cfc0ce7,6308915f</vt:lpwstr>
  </property>
  <property fmtid="{D5CDD505-2E9C-101B-9397-08002B2CF9AE}" pid="3" name="ClassificationContentMarkingHeaderFontProps">
    <vt:lpwstr>#4a569e,10,Aptos</vt:lpwstr>
  </property>
  <property fmtid="{D5CDD505-2E9C-101B-9397-08002B2CF9AE}" pid="4" name="ClassificationContentMarkingHeaderText">
    <vt:lpwstr>Internal</vt:lpwstr>
  </property>
  <property fmtid="{D5CDD505-2E9C-101B-9397-08002B2CF9AE}" pid="5" name="ContentTypeId">
    <vt:lpwstr>0x010100E0EE446D13D2E24394487710106E5104</vt:lpwstr>
  </property>
  <property fmtid="{D5CDD505-2E9C-101B-9397-08002B2CF9AE}" pid="6" name="MediaServiceImageTags">
    <vt:lpwstr/>
  </property>
</Properties>
</file>