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6414FBD" w14:textId="1EEB465A" w:rsidR="000C3F9B" w:rsidRPr="00A32E8C" w:rsidRDefault="000C3F9B" w:rsidP="000C3F9B">
      <w:pPr>
        <w:pStyle w:val="Title"/>
        <w:rPr>
          <w:rFonts w:asciiTheme="minorHAnsi" w:hAnsiTheme="minorHAnsi" w:cstheme="minorHAnsi"/>
          <w:bCs w:val="0"/>
          <w:color w:val="4472C4" w:themeColor="accent1"/>
          <w:sz w:val="24"/>
        </w:rPr>
      </w:pPr>
      <w:r w:rsidRPr="00A32E8C">
        <w:rPr>
          <w:rFonts w:asciiTheme="minorHAnsi" w:hAnsiTheme="minorHAnsi" w:cstheme="minorHAnsi"/>
          <w:bCs w:val="0"/>
          <w:color w:val="4472C4" w:themeColor="accent1"/>
          <w:sz w:val="24"/>
        </w:rPr>
        <w:t xml:space="preserve">Sample Letter of </w:t>
      </w:r>
      <w:r>
        <w:rPr>
          <w:rFonts w:asciiTheme="minorHAnsi" w:hAnsiTheme="minorHAnsi" w:cstheme="minorHAnsi"/>
          <w:bCs w:val="0"/>
          <w:color w:val="4472C4" w:themeColor="accent1"/>
          <w:sz w:val="24"/>
        </w:rPr>
        <w:t>Medical Necessity</w:t>
      </w:r>
      <w:r w:rsidRPr="00A32E8C">
        <w:rPr>
          <w:rFonts w:asciiTheme="minorHAnsi" w:hAnsiTheme="minorHAnsi" w:cstheme="minorHAnsi"/>
          <w:bCs w:val="0"/>
          <w:color w:val="4472C4" w:themeColor="accent1"/>
          <w:sz w:val="24"/>
        </w:rPr>
        <w:t xml:space="preserve"> for </w:t>
      </w:r>
      <w:r w:rsidRPr="00A32E8C">
        <w:rPr>
          <w:rFonts w:asciiTheme="minorHAnsi" w:hAnsiTheme="minorHAnsi" w:cstheme="minorHAnsi"/>
          <w:color w:val="4472C4" w:themeColor="accent1"/>
          <w:sz w:val="24"/>
        </w:rPr>
        <w:t>WAYRILZ™ (rilzabrutinib)</w:t>
      </w:r>
    </w:p>
    <w:p w14:paraId="53CD39ED" w14:textId="77777777" w:rsidR="000D334B" w:rsidRPr="006113D0" w:rsidRDefault="000D334B" w:rsidP="000D334B">
      <w:pPr>
        <w:pStyle w:val="Default"/>
        <w:rPr>
          <w:rFonts w:asciiTheme="minorHAnsi" w:hAnsiTheme="minorHAnsi" w:cstheme="minorHAnsi"/>
          <w:sz w:val="16"/>
          <w:szCs w:val="16"/>
        </w:rPr>
      </w:pPr>
    </w:p>
    <w:p w14:paraId="5FF58495" w14:textId="77777777" w:rsidR="006113D0" w:rsidRPr="00E857DA" w:rsidRDefault="000D334B" w:rsidP="006113D0">
      <w:pPr>
        <w:autoSpaceDE w:val="0"/>
        <w:autoSpaceDN w:val="0"/>
        <w:adjustRightInd w:val="0"/>
        <w:rPr>
          <w:rFonts w:asciiTheme="minorHAnsi" w:hAnsiTheme="minorHAnsi" w:cstheme="minorHAnsi"/>
          <w:b/>
          <w:bCs/>
          <w:color w:val="4472C4" w:themeColor="accent1"/>
          <w:sz w:val="24"/>
        </w:rPr>
      </w:pPr>
      <w:r w:rsidRPr="00E857DA">
        <w:rPr>
          <w:rFonts w:asciiTheme="minorHAnsi" w:hAnsiTheme="minorHAnsi" w:cstheme="minorHAnsi"/>
          <w:b/>
          <w:bCs/>
          <w:color w:val="4472C4" w:themeColor="accent1"/>
          <w:sz w:val="24"/>
        </w:rPr>
        <w:t>Provider Instructions</w:t>
      </w:r>
    </w:p>
    <w:p w14:paraId="7FE131B1" w14:textId="7A03FDB4" w:rsidR="000D334B" w:rsidRPr="00E857DA" w:rsidRDefault="006113D0" w:rsidP="00E74DB8">
      <w:pPr>
        <w:pStyle w:val="Default"/>
        <w:rPr>
          <w:rFonts w:asciiTheme="minorHAnsi" w:hAnsiTheme="minorHAnsi" w:cstheme="minorHAnsi"/>
          <w:color w:val="4472C4" w:themeColor="accent1"/>
        </w:rPr>
      </w:pPr>
      <w:r w:rsidRPr="00E857DA">
        <w:rPr>
          <w:rFonts w:asciiTheme="minorHAnsi" w:hAnsiTheme="minorHAnsi" w:cstheme="minorHAnsi"/>
          <w:color w:val="4472C4" w:themeColor="accent1"/>
        </w:rPr>
        <w:t xml:space="preserve">1. </w:t>
      </w:r>
      <w:r w:rsidR="000D334B" w:rsidRPr="00E857DA">
        <w:rPr>
          <w:rFonts w:asciiTheme="minorHAnsi" w:hAnsiTheme="minorHAnsi" w:cstheme="minorHAnsi"/>
          <w:color w:val="4472C4" w:themeColor="accent1"/>
        </w:rPr>
        <w:t>Remove the heading</w:t>
      </w:r>
      <w:r w:rsidR="00C73A60">
        <w:rPr>
          <w:rFonts w:asciiTheme="minorHAnsi" w:hAnsiTheme="minorHAnsi" w:cstheme="minorHAnsi"/>
          <w:color w:val="4472C4" w:themeColor="accent1"/>
        </w:rPr>
        <w:t xml:space="preserve"> and </w:t>
      </w:r>
      <w:r w:rsidR="000D334B" w:rsidRPr="00E857DA">
        <w:rPr>
          <w:rFonts w:asciiTheme="minorHAnsi" w:hAnsiTheme="minorHAnsi" w:cstheme="minorHAnsi"/>
          <w:color w:val="4472C4" w:themeColor="accent1"/>
        </w:rPr>
        <w:t>these</w:t>
      </w:r>
      <w:r w:rsidR="00E74DB8" w:rsidRPr="00E857DA">
        <w:rPr>
          <w:rFonts w:asciiTheme="minorHAnsi" w:hAnsiTheme="minorHAnsi" w:cstheme="minorHAnsi"/>
          <w:color w:val="4472C4" w:themeColor="accent1"/>
        </w:rPr>
        <w:t xml:space="preserve"> </w:t>
      </w:r>
      <w:r w:rsidR="000D334B" w:rsidRPr="00E857DA">
        <w:rPr>
          <w:rFonts w:asciiTheme="minorHAnsi" w:hAnsiTheme="minorHAnsi" w:cstheme="minorHAnsi"/>
          <w:color w:val="4472C4" w:themeColor="accent1"/>
        </w:rPr>
        <w:t>instructiona</w:t>
      </w:r>
      <w:r w:rsidRPr="00E857DA">
        <w:rPr>
          <w:rFonts w:asciiTheme="minorHAnsi" w:hAnsiTheme="minorHAnsi" w:cstheme="minorHAnsi"/>
          <w:color w:val="4472C4" w:themeColor="accent1"/>
        </w:rPr>
        <w:t xml:space="preserve">l </w:t>
      </w:r>
      <w:r w:rsidR="000D334B" w:rsidRPr="00E857DA">
        <w:rPr>
          <w:rFonts w:asciiTheme="minorHAnsi" w:hAnsiTheme="minorHAnsi" w:cstheme="minorHAnsi"/>
          <w:color w:val="4472C4" w:themeColor="accent1"/>
        </w:rPr>
        <w:t xml:space="preserve">statements.  </w:t>
      </w:r>
    </w:p>
    <w:p w14:paraId="7D3C5454" w14:textId="77777777" w:rsidR="000D334B" w:rsidRPr="00E857DA" w:rsidRDefault="000D334B" w:rsidP="006113D0">
      <w:pPr>
        <w:pStyle w:val="Default"/>
        <w:rPr>
          <w:rFonts w:asciiTheme="minorHAnsi" w:hAnsiTheme="minorHAnsi" w:cstheme="minorHAnsi"/>
          <w:color w:val="4472C4" w:themeColor="accent1"/>
        </w:rPr>
      </w:pPr>
      <w:r w:rsidRPr="00E857DA">
        <w:rPr>
          <w:rFonts w:asciiTheme="minorHAnsi" w:hAnsiTheme="minorHAnsi" w:cstheme="minorHAnsi"/>
          <w:color w:val="4472C4" w:themeColor="accent1"/>
        </w:rPr>
        <w:t xml:space="preserve">2. Modify the sample letter below to customize the information noted in bracketed red text. </w:t>
      </w:r>
    </w:p>
    <w:p w14:paraId="142DEA76" w14:textId="77777777" w:rsidR="000909FE" w:rsidRPr="00E857DA" w:rsidRDefault="000D334B" w:rsidP="006113D0">
      <w:pPr>
        <w:pStyle w:val="Default"/>
        <w:rPr>
          <w:rFonts w:asciiTheme="minorHAnsi" w:hAnsiTheme="minorHAnsi" w:cstheme="minorHAnsi"/>
          <w:color w:val="4472C4" w:themeColor="accent1"/>
        </w:rPr>
      </w:pPr>
      <w:r w:rsidRPr="00E857DA">
        <w:rPr>
          <w:rFonts w:asciiTheme="minorHAnsi" w:hAnsiTheme="minorHAnsi" w:cstheme="minorHAnsi"/>
          <w:color w:val="4472C4" w:themeColor="accent1"/>
        </w:rPr>
        <w:t>3. Format the letter to ensure all brackets are removed and all text is in black</w:t>
      </w:r>
      <w:r w:rsidR="00C93DF3" w:rsidRPr="00E857DA">
        <w:rPr>
          <w:rFonts w:asciiTheme="minorHAnsi" w:hAnsiTheme="minorHAnsi" w:cstheme="minorHAnsi"/>
          <w:color w:val="4472C4" w:themeColor="accent1"/>
        </w:rPr>
        <w:t>, unbold font</w:t>
      </w:r>
      <w:r w:rsidRPr="00E857DA">
        <w:rPr>
          <w:rFonts w:asciiTheme="minorHAnsi" w:hAnsiTheme="minorHAnsi" w:cstheme="minorHAnsi"/>
          <w:color w:val="4472C4" w:themeColor="accent1"/>
        </w:rPr>
        <w:t>.</w:t>
      </w:r>
    </w:p>
    <w:p w14:paraId="789C9011" w14:textId="3F3D4751" w:rsidR="00777D11" w:rsidRDefault="000D334B" w:rsidP="00EA2726">
      <w:pPr>
        <w:pStyle w:val="Default"/>
        <w:mirrorIndents/>
        <w:rPr>
          <w:rFonts w:asciiTheme="minorHAnsi" w:hAnsiTheme="minorHAnsi" w:cstheme="minorHAnsi"/>
          <w:color w:val="4472C4" w:themeColor="accent1"/>
        </w:rPr>
      </w:pPr>
      <w:r w:rsidRPr="00E857DA">
        <w:rPr>
          <w:rFonts w:asciiTheme="minorHAnsi" w:hAnsiTheme="minorHAnsi" w:cstheme="minorHAnsi"/>
          <w:color w:val="4472C4" w:themeColor="accent1"/>
        </w:rPr>
        <w:t>4. Print and send to the health plan advising them</w:t>
      </w:r>
      <w:r w:rsidR="00573296" w:rsidRPr="00E857DA">
        <w:rPr>
          <w:rFonts w:asciiTheme="minorHAnsi" w:hAnsiTheme="minorHAnsi" w:cstheme="minorHAnsi"/>
          <w:color w:val="4472C4" w:themeColor="accent1"/>
        </w:rPr>
        <w:t xml:space="preserve"> </w:t>
      </w:r>
      <w:r w:rsidRPr="00E857DA">
        <w:rPr>
          <w:rFonts w:asciiTheme="minorHAnsi" w:hAnsiTheme="minorHAnsi" w:cstheme="minorHAnsi"/>
          <w:color w:val="4472C4" w:themeColor="accent1"/>
        </w:rPr>
        <w:t xml:space="preserve">of </w:t>
      </w:r>
      <w:r w:rsidR="006113D0" w:rsidRPr="00E857DA">
        <w:rPr>
          <w:rFonts w:asciiTheme="minorHAnsi" w:hAnsiTheme="minorHAnsi" w:cstheme="minorHAnsi"/>
          <w:color w:val="4472C4" w:themeColor="accent1"/>
        </w:rPr>
        <w:t>the medical</w:t>
      </w:r>
      <w:r w:rsidR="00926CE2">
        <w:rPr>
          <w:rFonts w:asciiTheme="minorHAnsi" w:hAnsiTheme="minorHAnsi" w:cstheme="minorHAnsi"/>
          <w:color w:val="4472C4" w:themeColor="accent1"/>
        </w:rPr>
        <w:t xml:space="preserve"> </w:t>
      </w:r>
      <w:r w:rsidR="006113D0" w:rsidRPr="00E857DA">
        <w:rPr>
          <w:rFonts w:asciiTheme="minorHAnsi" w:hAnsiTheme="minorHAnsi" w:cstheme="minorHAnsi"/>
          <w:color w:val="4472C4" w:themeColor="accent1"/>
        </w:rPr>
        <w:t>necessity of treating your</w:t>
      </w:r>
    </w:p>
    <w:p w14:paraId="0668E891" w14:textId="44FEBC79" w:rsidR="002A4018" w:rsidRPr="00E857DA" w:rsidRDefault="002A4018" w:rsidP="00EA2726">
      <w:pPr>
        <w:pStyle w:val="Default"/>
        <w:mirrorIndents/>
        <w:rPr>
          <w:rFonts w:asciiTheme="minorHAnsi" w:hAnsiTheme="minorHAnsi" w:cstheme="minorHAnsi"/>
          <w:color w:val="4472C4" w:themeColor="accent1"/>
        </w:rPr>
      </w:pPr>
      <w:r>
        <w:rPr>
          <w:rFonts w:asciiTheme="minorHAnsi" w:hAnsiTheme="minorHAnsi" w:cstheme="minorHAnsi"/>
          <w:color w:val="4472C4" w:themeColor="accent1"/>
        </w:rPr>
        <w:t xml:space="preserve">    patient with this product.</w:t>
      </w:r>
    </w:p>
    <w:p w14:paraId="27EDC962" w14:textId="77777777" w:rsidR="00777D11" w:rsidRDefault="00777D11" w:rsidP="00777D11">
      <w:pPr>
        <w:pStyle w:val="ListParagraph"/>
        <w:autoSpaceDE w:val="0"/>
        <w:autoSpaceDN w:val="0"/>
        <w:adjustRightInd w:val="0"/>
        <w:ind w:hanging="720"/>
        <w:rPr>
          <w:rFonts w:asciiTheme="minorHAnsi" w:hAnsiTheme="minorHAnsi" w:cstheme="minorHAnsi"/>
          <w:b/>
          <w:bCs/>
          <w:i/>
          <w:iCs/>
          <w:color w:val="4370C3"/>
          <w:sz w:val="24"/>
        </w:rPr>
      </w:pPr>
    </w:p>
    <w:p w14:paraId="643108E6" w14:textId="63105576" w:rsidR="00777D11" w:rsidRDefault="00F42F07" w:rsidP="00F42F07">
      <w:pPr>
        <w:pStyle w:val="ListParagraph"/>
        <w:autoSpaceDE w:val="0"/>
        <w:autoSpaceDN w:val="0"/>
        <w:adjustRightInd w:val="0"/>
        <w:ind w:left="0"/>
        <w:rPr>
          <w:rFonts w:asciiTheme="minorHAnsi" w:hAnsiTheme="minorHAnsi" w:cstheme="minorHAnsi"/>
          <w:sz w:val="24"/>
        </w:rPr>
      </w:pPr>
      <w:r w:rsidRPr="00861018">
        <w:rPr>
          <w:rFonts w:asciiTheme="minorHAnsi" w:hAnsiTheme="minorHAnsi" w:cstheme="minorHAnsi"/>
          <w:sz w:val="24"/>
        </w:rPr>
        <w:t xml:space="preserve">This letter is a template and is intended to serve as an informational resource only. It does </w:t>
      </w:r>
      <w:r>
        <w:rPr>
          <w:rFonts w:asciiTheme="minorHAnsi" w:hAnsiTheme="minorHAnsi" w:cstheme="minorHAnsi"/>
          <w:sz w:val="24"/>
        </w:rPr>
        <w:t xml:space="preserve">          </w:t>
      </w:r>
      <w:r w:rsidRPr="00861018">
        <w:rPr>
          <w:rFonts w:asciiTheme="minorHAnsi" w:hAnsiTheme="minorHAnsi" w:cstheme="minorHAnsi"/>
          <w:sz w:val="24"/>
        </w:rPr>
        <w:t>not include all the information necessary to support your request. Requirements may vary based on health plan guidelines and patient benefit design. The requesting provider is responsible for ensuring the accuracy, adequacy, and supportability of all information provided. Sanofi is not a healthcare provider and does not provide medical diagnoses or treatment. The responsibility of evaluating the medical necessity of a particular treatment is solely the responsibility of the provider.</w:t>
      </w:r>
    </w:p>
    <w:p w14:paraId="73ADCCB2" w14:textId="77777777" w:rsidR="00F42F07" w:rsidRPr="000F73B7" w:rsidRDefault="00F42F07" w:rsidP="00F42F07">
      <w:pPr>
        <w:pStyle w:val="ListParagraph"/>
        <w:autoSpaceDE w:val="0"/>
        <w:autoSpaceDN w:val="0"/>
        <w:adjustRightInd w:val="0"/>
        <w:ind w:left="0"/>
        <w:rPr>
          <w:rFonts w:asciiTheme="minorHAnsi" w:hAnsiTheme="minorHAnsi" w:cstheme="minorHAnsi"/>
          <w:b/>
          <w:bCs/>
          <w:color w:val="FF0000"/>
          <w:sz w:val="16"/>
          <w:szCs w:val="16"/>
        </w:rPr>
      </w:pPr>
    </w:p>
    <w:p w14:paraId="376A4D41" w14:textId="77777777" w:rsidR="000D334B" w:rsidRPr="000C3F9B" w:rsidRDefault="000D334B" w:rsidP="000D334B">
      <w:pPr>
        <w:pStyle w:val="Default"/>
        <w:rPr>
          <w:rFonts w:asciiTheme="minorHAnsi" w:hAnsiTheme="minorHAnsi" w:cstheme="minorHAnsi"/>
          <w:color w:val="FF0000"/>
        </w:rPr>
      </w:pPr>
      <w:r w:rsidRPr="000C3F9B">
        <w:rPr>
          <w:rFonts w:asciiTheme="minorHAnsi" w:hAnsiTheme="minorHAnsi" w:cstheme="minorHAnsi"/>
          <w:color w:val="FF0000"/>
        </w:rPr>
        <w:t xml:space="preserve">[Date] </w:t>
      </w:r>
    </w:p>
    <w:p w14:paraId="04229819" w14:textId="77777777" w:rsidR="000D334B" w:rsidRPr="000C3F9B" w:rsidRDefault="000D334B" w:rsidP="000D334B">
      <w:pPr>
        <w:pStyle w:val="Default"/>
        <w:rPr>
          <w:rFonts w:asciiTheme="minorHAnsi" w:hAnsiTheme="minorHAnsi" w:cstheme="minorHAnsi"/>
          <w:color w:val="FF0000"/>
          <w:sz w:val="16"/>
          <w:szCs w:val="16"/>
        </w:rPr>
      </w:pPr>
    </w:p>
    <w:p w14:paraId="3E31B69F" w14:textId="77777777" w:rsidR="000D334B" w:rsidRPr="000C3F9B" w:rsidRDefault="000D334B" w:rsidP="000D334B">
      <w:pPr>
        <w:pStyle w:val="Default"/>
        <w:rPr>
          <w:rFonts w:asciiTheme="minorHAnsi" w:hAnsiTheme="minorHAnsi" w:cstheme="minorHAnsi"/>
          <w:color w:val="FF0000"/>
        </w:rPr>
      </w:pPr>
      <w:r w:rsidRPr="000C3F9B">
        <w:rPr>
          <w:rFonts w:asciiTheme="minorHAnsi" w:hAnsiTheme="minorHAnsi" w:cstheme="minorHAnsi"/>
          <w:color w:val="FF0000"/>
        </w:rPr>
        <w:t xml:space="preserve">[Payer Medical/Pharmacy Director/Contact Name] </w:t>
      </w:r>
    </w:p>
    <w:p w14:paraId="1437CCCD" w14:textId="77777777" w:rsidR="000D334B" w:rsidRPr="000C3F9B" w:rsidRDefault="000D334B" w:rsidP="000D334B">
      <w:pPr>
        <w:pStyle w:val="Default"/>
        <w:rPr>
          <w:rFonts w:asciiTheme="minorHAnsi" w:hAnsiTheme="minorHAnsi" w:cstheme="minorHAnsi"/>
          <w:color w:val="FF0000"/>
        </w:rPr>
      </w:pPr>
      <w:r w:rsidRPr="000C3F9B">
        <w:rPr>
          <w:rFonts w:asciiTheme="minorHAnsi" w:hAnsiTheme="minorHAnsi" w:cstheme="minorHAnsi"/>
          <w:color w:val="FF0000"/>
        </w:rPr>
        <w:t xml:space="preserve">[Payer Organization Name] </w:t>
      </w:r>
    </w:p>
    <w:p w14:paraId="3BB8A28C" w14:textId="77777777" w:rsidR="000D334B" w:rsidRPr="000C3F9B" w:rsidRDefault="000D334B" w:rsidP="000D334B">
      <w:pPr>
        <w:pStyle w:val="Default"/>
        <w:rPr>
          <w:rFonts w:asciiTheme="minorHAnsi" w:hAnsiTheme="minorHAnsi" w:cstheme="minorHAnsi"/>
          <w:color w:val="FF0000"/>
        </w:rPr>
      </w:pPr>
      <w:r w:rsidRPr="000C3F9B">
        <w:rPr>
          <w:rFonts w:asciiTheme="minorHAnsi" w:hAnsiTheme="minorHAnsi" w:cstheme="minorHAnsi"/>
          <w:color w:val="FF0000"/>
        </w:rPr>
        <w:t xml:space="preserve">[Payer Street Address] </w:t>
      </w:r>
    </w:p>
    <w:p w14:paraId="3540B90A" w14:textId="42C0733B" w:rsidR="000D334B" w:rsidRPr="000C3F9B" w:rsidRDefault="000D334B" w:rsidP="000D334B">
      <w:pPr>
        <w:pStyle w:val="Default"/>
        <w:rPr>
          <w:rFonts w:asciiTheme="minorHAnsi" w:hAnsiTheme="minorHAnsi" w:cstheme="minorHAnsi"/>
          <w:color w:val="FF0000"/>
        </w:rPr>
      </w:pPr>
      <w:r w:rsidRPr="000C3F9B">
        <w:rPr>
          <w:rFonts w:asciiTheme="minorHAnsi" w:hAnsiTheme="minorHAnsi" w:cstheme="minorHAnsi"/>
          <w:color w:val="FF0000"/>
        </w:rPr>
        <w:t xml:space="preserve">[Payer City, State ZIP Code] </w:t>
      </w:r>
    </w:p>
    <w:p w14:paraId="0F0788DB" w14:textId="77777777" w:rsidR="000D334B" w:rsidRPr="005C4C55" w:rsidRDefault="000D334B" w:rsidP="000D334B">
      <w:pPr>
        <w:pStyle w:val="Default"/>
        <w:rPr>
          <w:rFonts w:asciiTheme="minorHAnsi" w:hAnsiTheme="minorHAnsi" w:cstheme="minorHAnsi"/>
          <w:color w:val="FF0000"/>
          <w:sz w:val="16"/>
          <w:szCs w:val="16"/>
        </w:rPr>
      </w:pPr>
    </w:p>
    <w:p w14:paraId="2F19F354" w14:textId="0266F557" w:rsidR="000D334B" w:rsidRPr="000C3F9B" w:rsidRDefault="000D334B" w:rsidP="000D334B">
      <w:pPr>
        <w:pStyle w:val="Default"/>
        <w:rPr>
          <w:rFonts w:asciiTheme="minorHAnsi" w:hAnsiTheme="minorHAnsi" w:cstheme="minorHAnsi"/>
          <w:color w:val="FF0000"/>
        </w:rPr>
      </w:pPr>
      <w:r w:rsidRPr="000F73B7">
        <w:rPr>
          <w:rFonts w:asciiTheme="minorHAnsi" w:hAnsiTheme="minorHAnsi" w:cstheme="minorHAnsi"/>
        </w:rPr>
        <w:t>RE:</w:t>
      </w:r>
      <w:r w:rsidRPr="005F5D59">
        <w:rPr>
          <w:rFonts w:asciiTheme="minorHAnsi" w:hAnsiTheme="minorHAnsi" w:cstheme="minorHAnsi"/>
          <w:color w:val="000000" w:themeColor="text1"/>
        </w:rPr>
        <w:t xml:space="preserve"> Letter of Medical Necessity for </w:t>
      </w:r>
      <w:r w:rsidR="000C3F9B" w:rsidRPr="005F5D59">
        <w:rPr>
          <w:rFonts w:asciiTheme="minorHAnsi" w:hAnsiTheme="minorHAnsi" w:cstheme="minorHAnsi"/>
          <w:color w:val="000000" w:themeColor="text1"/>
        </w:rPr>
        <w:t>WAYRILZ</w:t>
      </w:r>
      <w:r w:rsidR="005F5D59" w:rsidRPr="00037A5C">
        <w:rPr>
          <w:rFonts w:asciiTheme="minorHAnsi" w:hAnsiTheme="minorHAnsi" w:cstheme="minorHAnsi"/>
          <w:color w:val="auto"/>
        </w:rPr>
        <w:t>™</w:t>
      </w:r>
      <w:r w:rsidR="000C3F9B" w:rsidRPr="005F5D59">
        <w:rPr>
          <w:rFonts w:asciiTheme="minorHAnsi" w:hAnsiTheme="minorHAnsi" w:cstheme="minorHAnsi"/>
          <w:color w:val="000000" w:themeColor="text1"/>
        </w:rPr>
        <w:t xml:space="preserve"> (rilzabrutinib</w:t>
      </w:r>
      <w:r w:rsidR="00C4348F" w:rsidRPr="005F5D59">
        <w:rPr>
          <w:rFonts w:asciiTheme="minorHAnsi" w:hAnsiTheme="minorHAnsi" w:cstheme="minorHAnsi"/>
          <w:color w:val="000000" w:themeColor="text1"/>
        </w:rPr>
        <w:t>)</w:t>
      </w:r>
    </w:p>
    <w:p w14:paraId="1198B915" w14:textId="77777777" w:rsidR="000D334B" w:rsidRPr="005C4C55" w:rsidRDefault="000D334B" w:rsidP="000D334B">
      <w:pPr>
        <w:pStyle w:val="Default"/>
        <w:rPr>
          <w:rFonts w:asciiTheme="minorHAnsi" w:hAnsiTheme="minorHAnsi" w:cstheme="minorHAnsi"/>
          <w:sz w:val="16"/>
          <w:szCs w:val="16"/>
        </w:rPr>
      </w:pPr>
    </w:p>
    <w:p w14:paraId="2B010CC2" w14:textId="77777777" w:rsidR="000D334B" w:rsidRDefault="000D334B" w:rsidP="000D334B">
      <w:pPr>
        <w:pStyle w:val="Default"/>
        <w:rPr>
          <w:rFonts w:asciiTheme="minorHAnsi" w:hAnsiTheme="minorHAnsi" w:cstheme="minorHAnsi"/>
        </w:rPr>
      </w:pPr>
      <w:r w:rsidRPr="005C4C55">
        <w:rPr>
          <w:rFonts w:asciiTheme="minorHAnsi" w:hAnsiTheme="minorHAnsi" w:cstheme="minorHAnsi"/>
          <w:color w:val="auto"/>
        </w:rPr>
        <w:t>Patient Name:</w:t>
      </w:r>
      <w:r>
        <w:rPr>
          <w:rFonts w:asciiTheme="minorHAnsi" w:hAnsiTheme="minorHAnsi" w:cstheme="minorHAnsi"/>
          <w:color w:val="FF0000"/>
        </w:rPr>
        <w:t xml:space="preserve"> </w:t>
      </w:r>
      <w:r w:rsidRPr="000C3F9B">
        <w:rPr>
          <w:rFonts w:asciiTheme="minorHAnsi" w:hAnsiTheme="minorHAnsi" w:cstheme="minorHAnsi"/>
          <w:color w:val="FF0000"/>
        </w:rPr>
        <w:t>[Patient Name]</w:t>
      </w:r>
    </w:p>
    <w:p w14:paraId="625335CE" w14:textId="77777777" w:rsidR="000D334B" w:rsidRPr="000F73B7" w:rsidRDefault="000D334B" w:rsidP="000D334B">
      <w:pPr>
        <w:pStyle w:val="Default"/>
        <w:rPr>
          <w:rFonts w:asciiTheme="minorHAnsi" w:hAnsiTheme="minorHAnsi" w:cstheme="minorHAnsi"/>
        </w:rPr>
      </w:pPr>
      <w:r w:rsidRPr="000F73B7">
        <w:rPr>
          <w:rFonts w:asciiTheme="minorHAnsi" w:hAnsiTheme="minorHAnsi" w:cstheme="minorHAnsi"/>
        </w:rPr>
        <w:t xml:space="preserve">Date of Birth: </w:t>
      </w:r>
      <w:r w:rsidRPr="000C3F9B">
        <w:rPr>
          <w:rFonts w:asciiTheme="minorHAnsi" w:hAnsiTheme="minorHAnsi" w:cstheme="minorHAnsi"/>
          <w:color w:val="FF0000"/>
        </w:rPr>
        <w:t xml:space="preserve">[Patient Date of Birth] </w:t>
      </w:r>
    </w:p>
    <w:p w14:paraId="2D441D0B" w14:textId="77777777" w:rsidR="000D334B" w:rsidRPr="000F73B7" w:rsidRDefault="000D334B" w:rsidP="000D334B">
      <w:pPr>
        <w:pStyle w:val="Default"/>
        <w:rPr>
          <w:rFonts w:asciiTheme="minorHAnsi" w:hAnsiTheme="minorHAnsi" w:cstheme="minorHAnsi"/>
        </w:rPr>
      </w:pPr>
      <w:r w:rsidRPr="000F73B7">
        <w:rPr>
          <w:rFonts w:asciiTheme="minorHAnsi" w:hAnsiTheme="minorHAnsi" w:cstheme="minorHAnsi"/>
        </w:rPr>
        <w:t xml:space="preserve">Policy ID/Group Number: </w:t>
      </w:r>
      <w:r w:rsidRPr="000C3F9B">
        <w:rPr>
          <w:rFonts w:asciiTheme="minorHAnsi" w:hAnsiTheme="minorHAnsi" w:cstheme="minorHAnsi"/>
          <w:color w:val="FF0000"/>
        </w:rPr>
        <w:t xml:space="preserve">[Policy ID/Group Number] </w:t>
      </w:r>
    </w:p>
    <w:p w14:paraId="291AF67B" w14:textId="77777777" w:rsidR="000D334B" w:rsidRPr="000F73B7" w:rsidRDefault="000D334B" w:rsidP="000D334B">
      <w:pPr>
        <w:pStyle w:val="Default"/>
        <w:rPr>
          <w:rFonts w:asciiTheme="minorHAnsi" w:hAnsiTheme="minorHAnsi" w:cstheme="minorHAnsi"/>
        </w:rPr>
      </w:pPr>
      <w:r w:rsidRPr="000F73B7">
        <w:rPr>
          <w:rFonts w:asciiTheme="minorHAnsi" w:hAnsiTheme="minorHAnsi" w:cstheme="minorHAnsi"/>
        </w:rPr>
        <w:t xml:space="preserve">Policy Holder: </w:t>
      </w:r>
      <w:r w:rsidRPr="000C3F9B">
        <w:rPr>
          <w:rFonts w:asciiTheme="minorHAnsi" w:hAnsiTheme="minorHAnsi" w:cstheme="minorHAnsi"/>
          <w:color w:val="FF0000"/>
        </w:rPr>
        <w:t xml:space="preserve">[Policy Holder’s Name] </w:t>
      </w:r>
    </w:p>
    <w:p w14:paraId="6C1DE46A" w14:textId="77777777" w:rsidR="007F59DC" w:rsidRDefault="007F59DC" w:rsidP="000D334B">
      <w:pPr>
        <w:pStyle w:val="Default"/>
        <w:rPr>
          <w:rFonts w:asciiTheme="minorHAnsi" w:hAnsiTheme="minorHAnsi" w:cstheme="minorHAnsi"/>
        </w:rPr>
      </w:pPr>
    </w:p>
    <w:p w14:paraId="4DDB23AF" w14:textId="40B7F424" w:rsidR="000D334B" w:rsidRDefault="000D334B" w:rsidP="000D334B">
      <w:pPr>
        <w:pStyle w:val="Default"/>
        <w:rPr>
          <w:rFonts w:asciiTheme="minorHAnsi" w:hAnsiTheme="minorHAnsi" w:cstheme="minorHAnsi"/>
        </w:rPr>
      </w:pPr>
      <w:r w:rsidRPr="000F73B7">
        <w:rPr>
          <w:rFonts w:asciiTheme="minorHAnsi" w:hAnsiTheme="minorHAnsi" w:cstheme="minorHAnsi"/>
        </w:rPr>
        <w:t xml:space="preserve">Dear </w:t>
      </w:r>
      <w:r w:rsidRPr="000C3F9B">
        <w:rPr>
          <w:rFonts w:asciiTheme="minorHAnsi" w:hAnsiTheme="minorHAnsi" w:cstheme="minorHAnsi"/>
          <w:color w:val="FF0000"/>
        </w:rPr>
        <w:t>[Payer Medical/Pharmacy Director/Contact Name]</w:t>
      </w:r>
      <w:r w:rsidR="006B6115">
        <w:rPr>
          <w:rFonts w:asciiTheme="minorHAnsi" w:hAnsiTheme="minorHAnsi" w:cstheme="minorHAnsi"/>
        </w:rPr>
        <w:t>,</w:t>
      </w:r>
    </w:p>
    <w:p w14:paraId="722DA3C0" w14:textId="77777777" w:rsidR="005C4C55" w:rsidRPr="005C4C55" w:rsidRDefault="005C4C55" w:rsidP="000F73B7">
      <w:pPr>
        <w:pStyle w:val="Default"/>
        <w:rPr>
          <w:rFonts w:asciiTheme="minorHAnsi" w:hAnsiTheme="minorHAnsi" w:cstheme="minorHAnsi"/>
          <w:sz w:val="16"/>
          <w:szCs w:val="16"/>
        </w:rPr>
      </w:pPr>
    </w:p>
    <w:p w14:paraId="17A88900" w14:textId="0AD4669A" w:rsidR="000F17E3" w:rsidRPr="000F73B7" w:rsidRDefault="000F17E3" w:rsidP="000F73B7">
      <w:pPr>
        <w:pStyle w:val="Default"/>
        <w:rPr>
          <w:rFonts w:asciiTheme="minorHAnsi" w:hAnsiTheme="minorHAnsi" w:cstheme="minorHAnsi"/>
        </w:rPr>
      </w:pPr>
      <w:r w:rsidRPr="000F73B7">
        <w:rPr>
          <w:rFonts w:asciiTheme="minorHAnsi" w:hAnsiTheme="minorHAnsi" w:cstheme="minorHAnsi"/>
        </w:rPr>
        <w:t xml:space="preserve">I am </w:t>
      </w:r>
      <w:r w:rsidRPr="000C3F9B">
        <w:rPr>
          <w:rFonts w:asciiTheme="minorHAnsi" w:hAnsiTheme="minorHAnsi" w:cstheme="minorHAnsi"/>
          <w:color w:val="FF0000"/>
        </w:rPr>
        <w:t>[Physician Name, Credentials, Specialty, Hospital/Practice]</w:t>
      </w:r>
      <w:r w:rsidR="002B3AFD">
        <w:rPr>
          <w:rFonts w:asciiTheme="minorHAnsi" w:hAnsiTheme="minorHAnsi" w:cstheme="minorHAnsi"/>
        </w:rPr>
        <w:t>, and</w:t>
      </w:r>
      <w:r w:rsidRPr="000F73B7">
        <w:rPr>
          <w:rFonts w:asciiTheme="minorHAnsi" w:hAnsiTheme="minorHAnsi" w:cstheme="minorHAnsi"/>
        </w:rPr>
        <w:t xml:space="preserve"> I am writing on behalf of my patient, </w:t>
      </w:r>
      <w:r w:rsidRPr="000C3F9B">
        <w:rPr>
          <w:rFonts w:asciiTheme="minorHAnsi" w:hAnsiTheme="minorHAnsi" w:cstheme="minorHAnsi"/>
          <w:color w:val="FF0000"/>
        </w:rPr>
        <w:t>[Patient Name]</w:t>
      </w:r>
      <w:r w:rsidRPr="000F73B7">
        <w:rPr>
          <w:rFonts w:asciiTheme="minorHAnsi" w:hAnsiTheme="minorHAnsi" w:cstheme="minorHAnsi"/>
        </w:rPr>
        <w:t>, to document the medical necessity for</w:t>
      </w:r>
      <w:r w:rsidR="00B53600" w:rsidRPr="000F73B7">
        <w:rPr>
          <w:rFonts w:asciiTheme="minorHAnsi" w:hAnsiTheme="minorHAnsi" w:cstheme="minorHAnsi"/>
        </w:rPr>
        <w:t xml:space="preserve"> </w:t>
      </w:r>
      <w:r w:rsidR="00037A5C">
        <w:rPr>
          <w:rFonts w:asciiTheme="minorHAnsi" w:hAnsiTheme="minorHAnsi" w:cstheme="minorHAnsi"/>
        </w:rPr>
        <w:t xml:space="preserve">the use of </w:t>
      </w:r>
      <w:r w:rsidR="00037A5C" w:rsidRPr="00037A5C">
        <w:rPr>
          <w:rFonts w:asciiTheme="minorHAnsi" w:hAnsiTheme="minorHAnsi" w:cstheme="minorHAnsi"/>
          <w:color w:val="auto"/>
        </w:rPr>
        <w:t>WAYRILZ</w:t>
      </w:r>
      <w:bookmarkStart w:id="0" w:name="_Hlk200711328"/>
      <w:r w:rsidR="00037A5C" w:rsidRPr="00037A5C">
        <w:rPr>
          <w:rFonts w:asciiTheme="minorHAnsi" w:hAnsiTheme="minorHAnsi" w:cstheme="minorHAnsi"/>
          <w:color w:val="auto"/>
        </w:rPr>
        <w:t>™</w:t>
      </w:r>
      <w:bookmarkEnd w:id="0"/>
      <w:r w:rsidR="00037A5C" w:rsidRPr="00037A5C">
        <w:rPr>
          <w:rFonts w:asciiTheme="minorHAnsi" w:hAnsiTheme="minorHAnsi" w:cstheme="minorHAnsi"/>
          <w:color w:val="auto"/>
        </w:rPr>
        <w:t xml:space="preserve"> (rilzabrutinib) </w:t>
      </w:r>
      <w:r w:rsidRPr="000F73B7">
        <w:rPr>
          <w:rFonts w:asciiTheme="minorHAnsi" w:hAnsiTheme="minorHAnsi" w:cstheme="minorHAnsi"/>
        </w:rPr>
        <w:t>for the</w:t>
      </w:r>
      <w:r w:rsidR="00B53600" w:rsidRPr="000F73B7">
        <w:rPr>
          <w:rFonts w:asciiTheme="minorHAnsi" w:hAnsiTheme="minorHAnsi" w:cstheme="minorHAnsi"/>
        </w:rPr>
        <w:t xml:space="preserve"> </w:t>
      </w:r>
      <w:r w:rsidR="00037A5C">
        <w:rPr>
          <w:rFonts w:asciiTheme="minorHAnsi" w:hAnsiTheme="minorHAnsi" w:cstheme="minorHAnsi"/>
        </w:rPr>
        <w:t xml:space="preserve">treatment of </w:t>
      </w:r>
      <w:r w:rsidR="009A7D2E" w:rsidRPr="009A7D2E">
        <w:rPr>
          <w:rFonts w:asciiTheme="minorHAnsi" w:hAnsiTheme="minorHAnsi" w:cstheme="minorHAnsi"/>
          <w:color w:val="FF0000"/>
        </w:rPr>
        <w:t>[</w:t>
      </w:r>
      <w:r w:rsidR="00037A5C" w:rsidRPr="009A7D2E">
        <w:rPr>
          <w:rFonts w:asciiTheme="minorHAnsi" w:hAnsiTheme="minorHAnsi" w:cstheme="minorHAnsi"/>
          <w:color w:val="FF0000"/>
        </w:rPr>
        <w:t>persistent or chronic</w:t>
      </w:r>
      <w:r w:rsidR="009A7D2E" w:rsidRPr="009A7D2E">
        <w:rPr>
          <w:rFonts w:asciiTheme="minorHAnsi" w:hAnsiTheme="minorHAnsi" w:cstheme="minorHAnsi"/>
          <w:color w:val="FF0000"/>
        </w:rPr>
        <w:t>]</w:t>
      </w:r>
      <w:r w:rsidR="00037A5C" w:rsidRPr="009A7D2E">
        <w:rPr>
          <w:rFonts w:asciiTheme="minorHAnsi" w:hAnsiTheme="minorHAnsi" w:cstheme="minorHAnsi"/>
          <w:color w:val="FF0000"/>
        </w:rPr>
        <w:t xml:space="preserve"> </w:t>
      </w:r>
      <w:r w:rsidR="00037A5C">
        <w:rPr>
          <w:rFonts w:asciiTheme="minorHAnsi" w:hAnsiTheme="minorHAnsi" w:cstheme="minorHAnsi"/>
        </w:rPr>
        <w:t xml:space="preserve">immune thrombocytopenia (ITP). </w:t>
      </w:r>
      <w:r w:rsidRPr="000F73B7">
        <w:rPr>
          <w:rFonts w:asciiTheme="minorHAnsi" w:hAnsiTheme="minorHAnsi" w:cstheme="minorHAnsi"/>
        </w:rPr>
        <w:t>This letter provides information abou</w:t>
      </w:r>
      <w:r w:rsidR="00C93DF3">
        <w:rPr>
          <w:rFonts w:asciiTheme="minorHAnsi" w:hAnsiTheme="minorHAnsi" w:cstheme="minorHAnsi"/>
        </w:rPr>
        <w:t>t my patient’s</w:t>
      </w:r>
      <w:r w:rsidRPr="000F73B7">
        <w:rPr>
          <w:rFonts w:asciiTheme="minorHAnsi" w:hAnsiTheme="minorHAnsi" w:cstheme="minorHAnsi"/>
        </w:rPr>
        <w:t xml:space="preserve"> medical history </w:t>
      </w:r>
      <w:r w:rsidR="00B53600" w:rsidRPr="000F73B7">
        <w:rPr>
          <w:rFonts w:asciiTheme="minorHAnsi" w:hAnsiTheme="minorHAnsi" w:cstheme="minorHAnsi"/>
        </w:rPr>
        <w:t xml:space="preserve">and </w:t>
      </w:r>
      <w:r w:rsidR="00C93DF3">
        <w:rPr>
          <w:rFonts w:asciiTheme="minorHAnsi" w:hAnsiTheme="minorHAnsi" w:cstheme="minorHAnsi"/>
        </w:rPr>
        <w:t>my</w:t>
      </w:r>
      <w:r w:rsidR="00627132">
        <w:rPr>
          <w:rFonts w:asciiTheme="minorHAnsi" w:hAnsiTheme="minorHAnsi" w:cstheme="minorHAnsi"/>
        </w:rPr>
        <w:t xml:space="preserve"> </w:t>
      </w:r>
      <w:r w:rsidR="00B53600" w:rsidRPr="000F73B7">
        <w:rPr>
          <w:rFonts w:asciiTheme="minorHAnsi" w:hAnsiTheme="minorHAnsi" w:cstheme="minorHAnsi"/>
        </w:rPr>
        <w:t>rationale for</w:t>
      </w:r>
      <w:r w:rsidR="00037A5C">
        <w:rPr>
          <w:rFonts w:asciiTheme="minorHAnsi" w:hAnsiTheme="minorHAnsi" w:cstheme="minorHAnsi"/>
        </w:rPr>
        <w:t xml:space="preserve"> prescribing WAYRILZ</w:t>
      </w:r>
      <w:r w:rsidR="00B53600" w:rsidRPr="000F73B7">
        <w:rPr>
          <w:rFonts w:asciiTheme="minorHAnsi" w:hAnsiTheme="minorHAnsi" w:cstheme="minorHAnsi"/>
        </w:rPr>
        <w:t xml:space="preserve">. </w:t>
      </w:r>
    </w:p>
    <w:p w14:paraId="379C7DA6" w14:textId="77777777" w:rsidR="00B53600" w:rsidRPr="000F73B7" w:rsidRDefault="00B53600" w:rsidP="000F73B7">
      <w:pPr>
        <w:pStyle w:val="Default"/>
        <w:rPr>
          <w:rFonts w:asciiTheme="minorHAnsi" w:hAnsiTheme="minorHAnsi" w:cstheme="minorHAnsi"/>
          <w:sz w:val="16"/>
          <w:szCs w:val="16"/>
        </w:rPr>
      </w:pPr>
    </w:p>
    <w:p w14:paraId="098D0913" w14:textId="77777777" w:rsidR="000F17E3" w:rsidRPr="000F73B7" w:rsidRDefault="000F17E3" w:rsidP="000F73B7">
      <w:pPr>
        <w:pStyle w:val="Default"/>
        <w:rPr>
          <w:rFonts w:asciiTheme="minorHAnsi" w:hAnsiTheme="minorHAnsi" w:cstheme="minorHAnsi"/>
        </w:rPr>
      </w:pPr>
      <w:r w:rsidRPr="000F73B7">
        <w:rPr>
          <w:rFonts w:asciiTheme="minorHAnsi" w:hAnsiTheme="minorHAnsi" w:cstheme="minorHAnsi"/>
          <w:b/>
          <w:bCs/>
        </w:rPr>
        <w:t xml:space="preserve">Summary of Patient’s Medical History </w:t>
      </w:r>
    </w:p>
    <w:p w14:paraId="02A1C11F" w14:textId="3F817D8F" w:rsidR="000F17E3" w:rsidRPr="000C3F9B" w:rsidRDefault="000F17E3" w:rsidP="000F73B7">
      <w:pPr>
        <w:pStyle w:val="Default"/>
        <w:rPr>
          <w:rFonts w:asciiTheme="minorHAnsi" w:hAnsiTheme="minorHAnsi" w:cstheme="minorHAnsi"/>
          <w:color w:val="FF0000"/>
        </w:rPr>
      </w:pPr>
      <w:r w:rsidRPr="000C3F9B">
        <w:rPr>
          <w:rFonts w:asciiTheme="minorHAnsi" w:hAnsiTheme="minorHAnsi" w:cstheme="minorHAnsi"/>
          <w:color w:val="FF0000"/>
        </w:rPr>
        <w:t>[</w:t>
      </w:r>
      <w:r w:rsidR="0018229B" w:rsidRPr="000C3F9B">
        <w:rPr>
          <w:rFonts w:asciiTheme="minorHAnsi" w:hAnsiTheme="minorHAnsi" w:cstheme="minorHAnsi"/>
          <w:color w:val="FF0000"/>
        </w:rPr>
        <w:t xml:space="preserve">Provide </w:t>
      </w:r>
      <w:r w:rsidR="007F5D55">
        <w:rPr>
          <w:rFonts w:asciiTheme="minorHAnsi" w:hAnsiTheme="minorHAnsi" w:cstheme="minorHAnsi"/>
          <w:color w:val="FF0000"/>
        </w:rPr>
        <w:t>s</w:t>
      </w:r>
      <w:r w:rsidR="0018229B" w:rsidRPr="000C3F9B">
        <w:rPr>
          <w:rFonts w:asciiTheme="minorHAnsi" w:hAnsiTheme="minorHAnsi" w:cstheme="minorHAnsi"/>
          <w:color w:val="FF0000"/>
        </w:rPr>
        <w:t>ummary</w:t>
      </w:r>
      <w:r w:rsidR="00627132" w:rsidRPr="000C3F9B">
        <w:rPr>
          <w:rFonts w:asciiTheme="minorHAnsi" w:hAnsiTheme="minorHAnsi" w:cstheme="minorHAnsi"/>
          <w:color w:val="FF0000"/>
        </w:rPr>
        <w:t xml:space="preserve"> of</w:t>
      </w:r>
      <w:r w:rsidR="0018229B" w:rsidRPr="000C3F9B">
        <w:rPr>
          <w:rFonts w:asciiTheme="minorHAnsi" w:hAnsiTheme="minorHAnsi" w:cstheme="minorHAnsi"/>
          <w:color w:val="FF0000"/>
        </w:rPr>
        <w:t xml:space="preserve"> </w:t>
      </w:r>
      <w:r w:rsidR="003353B9">
        <w:rPr>
          <w:rFonts w:asciiTheme="minorHAnsi" w:hAnsiTheme="minorHAnsi" w:cstheme="minorHAnsi"/>
          <w:color w:val="FF0000"/>
        </w:rPr>
        <w:t>p</w:t>
      </w:r>
      <w:r w:rsidR="00C4348F" w:rsidRPr="000C3F9B">
        <w:rPr>
          <w:rFonts w:asciiTheme="minorHAnsi" w:hAnsiTheme="minorHAnsi" w:cstheme="minorHAnsi"/>
          <w:color w:val="FF0000"/>
        </w:rPr>
        <w:t xml:space="preserve">atient’s </w:t>
      </w:r>
      <w:r w:rsidR="003353B9">
        <w:rPr>
          <w:rFonts w:asciiTheme="minorHAnsi" w:hAnsiTheme="minorHAnsi" w:cstheme="minorHAnsi"/>
          <w:color w:val="FF0000"/>
        </w:rPr>
        <w:t>r</w:t>
      </w:r>
      <w:r w:rsidR="00C4348F" w:rsidRPr="000C3F9B">
        <w:rPr>
          <w:rFonts w:asciiTheme="minorHAnsi" w:hAnsiTheme="minorHAnsi" w:cstheme="minorHAnsi"/>
          <w:color w:val="FF0000"/>
        </w:rPr>
        <w:t xml:space="preserve">elevant </w:t>
      </w:r>
      <w:r w:rsidR="003353B9">
        <w:rPr>
          <w:rFonts w:asciiTheme="minorHAnsi" w:hAnsiTheme="minorHAnsi" w:cstheme="minorHAnsi"/>
          <w:color w:val="FF0000"/>
        </w:rPr>
        <w:t>m</w:t>
      </w:r>
      <w:r w:rsidR="00C4348F" w:rsidRPr="000C3F9B">
        <w:rPr>
          <w:rFonts w:asciiTheme="minorHAnsi" w:hAnsiTheme="minorHAnsi" w:cstheme="minorHAnsi"/>
          <w:color w:val="FF0000"/>
        </w:rPr>
        <w:t xml:space="preserve">edical </w:t>
      </w:r>
      <w:r w:rsidR="003353B9">
        <w:rPr>
          <w:rFonts w:asciiTheme="minorHAnsi" w:hAnsiTheme="minorHAnsi" w:cstheme="minorHAnsi"/>
          <w:color w:val="FF0000"/>
        </w:rPr>
        <w:t>h</w:t>
      </w:r>
      <w:r w:rsidR="00C4348F" w:rsidRPr="000C3F9B">
        <w:rPr>
          <w:rFonts w:asciiTheme="minorHAnsi" w:hAnsiTheme="minorHAnsi" w:cstheme="minorHAnsi"/>
          <w:color w:val="FF0000"/>
        </w:rPr>
        <w:t>istory</w:t>
      </w:r>
      <w:r w:rsidR="00F42F07">
        <w:rPr>
          <w:rFonts w:asciiTheme="minorHAnsi" w:hAnsiTheme="minorHAnsi" w:cstheme="minorHAnsi"/>
          <w:color w:val="FF0000"/>
        </w:rPr>
        <w:t xml:space="preserve"> and </w:t>
      </w:r>
      <w:r w:rsidR="00F42F07" w:rsidRPr="00F42F07">
        <w:rPr>
          <w:rFonts w:asciiTheme="minorHAnsi" w:hAnsiTheme="minorHAnsi" w:cstheme="minorHAnsi"/>
          <w:color w:val="FF0000"/>
        </w:rPr>
        <w:t>treatment history, such as duration of each type of therapy</w:t>
      </w:r>
      <w:r w:rsidR="00F42F07">
        <w:rPr>
          <w:rFonts w:asciiTheme="minorHAnsi" w:hAnsiTheme="minorHAnsi" w:cstheme="minorHAnsi"/>
          <w:color w:val="FF0000"/>
        </w:rPr>
        <w:t xml:space="preserve">. </w:t>
      </w:r>
      <w:r w:rsidR="00F42F07" w:rsidRPr="00F42F07">
        <w:rPr>
          <w:rFonts w:asciiTheme="minorHAnsi" w:hAnsiTheme="minorHAnsi" w:cstheme="minorHAnsi"/>
          <w:color w:val="FF0000"/>
        </w:rPr>
        <w:t>Response to past therapies (</w:t>
      </w:r>
      <w:proofErr w:type="spellStart"/>
      <w:r w:rsidR="00F42F07" w:rsidRPr="00F42F07">
        <w:rPr>
          <w:rFonts w:asciiTheme="minorHAnsi" w:hAnsiTheme="minorHAnsi" w:cstheme="minorHAnsi"/>
          <w:color w:val="FF0000"/>
        </w:rPr>
        <w:t>eg</w:t>
      </w:r>
      <w:proofErr w:type="spellEnd"/>
      <w:r w:rsidR="00F42F07" w:rsidRPr="00F42F07">
        <w:rPr>
          <w:rFonts w:asciiTheme="minorHAnsi" w:hAnsiTheme="minorHAnsi" w:cstheme="minorHAnsi"/>
          <w:color w:val="FF0000"/>
        </w:rPr>
        <w:t>, name of therapy, dose, start date/stop date, length of treatment, and clinical response)]</w:t>
      </w:r>
    </w:p>
    <w:p w14:paraId="127A83FA" w14:textId="77777777" w:rsidR="0018229B" w:rsidRDefault="0018229B" w:rsidP="000F73B7">
      <w:pPr>
        <w:pStyle w:val="Default"/>
        <w:rPr>
          <w:rFonts w:asciiTheme="minorHAnsi" w:hAnsiTheme="minorHAnsi" w:cstheme="minorHAnsi"/>
          <w:sz w:val="16"/>
          <w:szCs w:val="16"/>
        </w:rPr>
      </w:pPr>
    </w:p>
    <w:p w14:paraId="67B527F8" w14:textId="77777777" w:rsidR="00C73A60" w:rsidRDefault="00C73A60" w:rsidP="000F73B7">
      <w:pPr>
        <w:pStyle w:val="Default"/>
        <w:rPr>
          <w:rFonts w:asciiTheme="minorHAnsi" w:hAnsiTheme="minorHAnsi" w:cstheme="minorHAnsi"/>
          <w:sz w:val="16"/>
          <w:szCs w:val="16"/>
        </w:rPr>
      </w:pPr>
    </w:p>
    <w:p w14:paraId="2F3A0C20" w14:textId="77777777" w:rsidR="00F42F07" w:rsidRDefault="00F42F07" w:rsidP="000F73B7">
      <w:pPr>
        <w:pStyle w:val="Default"/>
        <w:rPr>
          <w:rFonts w:asciiTheme="minorHAnsi" w:hAnsiTheme="minorHAnsi" w:cstheme="minorHAnsi"/>
          <w:sz w:val="16"/>
          <w:szCs w:val="16"/>
        </w:rPr>
      </w:pPr>
    </w:p>
    <w:p w14:paraId="6E47B402" w14:textId="77777777" w:rsidR="00F42F07" w:rsidRPr="000F73B7" w:rsidRDefault="00F42F07" w:rsidP="000F73B7">
      <w:pPr>
        <w:pStyle w:val="Default"/>
        <w:rPr>
          <w:rFonts w:asciiTheme="minorHAnsi" w:hAnsiTheme="minorHAnsi" w:cstheme="minorHAnsi"/>
          <w:sz w:val="16"/>
          <w:szCs w:val="16"/>
        </w:rPr>
      </w:pPr>
    </w:p>
    <w:p w14:paraId="0125CCC4" w14:textId="18934667" w:rsidR="000F17E3" w:rsidRPr="000F73B7" w:rsidRDefault="000F17E3" w:rsidP="000F73B7">
      <w:pPr>
        <w:pStyle w:val="Default"/>
        <w:rPr>
          <w:rFonts w:asciiTheme="minorHAnsi" w:hAnsiTheme="minorHAnsi" w:cstheme="minorHAnsi"/>
        </w:rPr>
      </w:pPr>
      <w:r w:rsidRPr="000F73B7">
        <w:rPr>
          <w:rFonts w:asciiTheme="minorHAnsi" w:hAnsiTheme="minorHAnsi" w:cstheme="minorHAnsi"/>
          <w:b/>
          <w:bCs/>
        </w:rPr>
        <w:lastRenderedPageBreak/>
        <w:t xml:space="preserve">Patient-Specific Rationale for </w:t>
      </w:r>
      <w:r w:rsidR="009D1B56">
        <w:rPr>
          <w:rFonts w:asciiTheme="minorHAnsi" w:hAnsiTheme="minorHAnsi" w:cstheme="minorHAnsi"/>
          <w:b/>
          <w:bCs/>
        </w:rPr>
        <w:t>Treatment</w:t>
      </w:r>
    </w:p>
    <w:p w14:paraId="39BADF48" w14:textId="64E7E134" w:rsidR="00F42F07" w:rsidRPr="00BD21AA" w:rsidRDefault="0018229B" w:rsidP="00F42F07">
      <w:pPr>
        <w:rPr>
          <w:rFonts w:ascii="Calibri" w:hAnsi="Calibri" w:cs="Calibri"/>
          <w:sz w:val="24"/>
        </w:rPr>
      </w:pPr>
      <w:r w:rsidRPr="00BD21AA">
        <w:rPr>
          <w:rFonts w:ascii="Calibri" w:hAnsi="Calibri" w:cs="Calibri"/>
          <w:sz w:val="24"/>
        </w:rPr>
        <w:t xml:space="preserve">The medical necessity for the </w:t>
      </w:r>
      <w:r w:rsidR="00037A5C" w:rsidRPr="00BD21AA">
        <w:rPr>
          <w:rFonts w:ascii="Calibri" w:hAnsi="Calibri" w:cs="Calibri"/>
          <w:sz w:val="24"/>
        </w:rPr>
        <w:t xml:space="preserve">use of WAYRILZ </w:t>
      </w:r>
      <w:r w:rsidRPr="00BD21AA">
        <w:rPr>
          <w:rFonts w:ascii="Calibri" w:hAnsi="Calibri" w:cs="Calibri"/>
          <w:sz w:val="24"/>
        </w:rPr>
        <w:t>arises as my patient</w:t>
      </w:r>
      <w:r w:rsidR="00627132" w:rsidRPr="00BD21AA">
        <w:rPr>
          <w:rFonts w:ascii="Calibri" w:hAnsi="Calibri" w:cs="Calibri"/>
          <w:sz w:val="24"/>
        </w:rPr>
        <w:t>,</w:t>
      </w:r>
      <w:r w:rsidRPr="00BD21AA">
        <w:rPr>
          <w:rFonts w:ascii="Calibri" w:hAnsi="Calibri" w:cs="Calibri"/>
          <w:sz w:val="24"/>
        </w:rPr>
        <w:t xml:space="preserve"> </w:t>
      </w:r>
      <w:r w:rsidRPr="00BD21AA">
        <w:rPr>
          <w:rFonts w:ascii="Calibri" w:hAnsi="Calibri" w:cs="Calibri"/>
          <w:color w:val="FF0000"/>
          <w:sz w:val="24"/>
        </w:rPr>
        <w:t>[Patient Name]</w:t>
      </w:r>
      <w:r w:rsidRPr="00BD21AA">
        <w:rPr>
          <w:rFonts w:ascii="Calibri" w:hAnsi="Calibri" w:cs="Calibri"/>
          <w:sz w:val="24"/>
        </w:rPr>
        <w:t xml:space="preserve">, </w:t>
      </w:r>
      <w:r w:rsidR="00037A5C" w:rsidRPr="00BD21AA">
        <w:rPr>
          <w:rFonts w:ascii="Calibri" w:hAnsi="Calibri" w:cs="Calibri"/>
          <w:sz w:val="24"/>
        </w:rPr>
        <w:t xml:space="preserve">has been diagnosed with </w:t>
      </w:r>
      <w:r w:rsidR="009A7D2E" w:rsidRPr="00BD21AA">
        <w:rPr>
          <w:rFonts w:ascii="Calibri" w:hAnsi="Calibri" w:cs="Calibri"/>
          <w:color w:val="FF0000"/>
          <w:sz w:val="24"/>
        </w:rPr>
        <w:t>[</w:t>
      </w:r>
      <w:r w:rsidR="00037A5C" w:rsidRPr="00BD21AA">
        <w:rPr>
          <w:rFonts w:ascii="Calibri" w:hAnsi="Calibri" w:cs="Calibri"/>
          <w:color w:val="FF0000"/>
          <w:sz w:val="24"/>
        </w:rPr>
        <w:t>persistent or chronic</w:t>
      </w:r>
      <w:r w:rsidR="009A7D2E" w:rsidRPr="00BD21AA">
        <w:rPr>
          <w:rFonts w:ascii="Calibri" w:hAnsi="Calibri" w:cs="Calibri"/>
          <w:color w:val="FF0000"/>
          <w:sz w:val="24"/>
        </w:rPr>
        <w:t>]</w:t>
      </w:r>
      <w:r w:rsidR="00037A5C" w:rsidRPr="00BD21AA">
        <w:rPr>
          <w:rFonts w:ascii="Calibri" w:hAnsi="Calibri" w:cs="Calibri"/>
          <w:color w:val="FF0000"/>
          <w:sz w:val="24"/>
        </w:rPr>
        <w:t xml:space="preserve"> </w:t>
      </w:r>
      <w:r w:rsidR="00037A5C" w:rsidRPr="00BD21AA">
        <w:rPr>
          <w:rFonts w:ascii="Calibri" w:hAnsi="Calibri" w:cs="Calibri"/>
          <w:sz w:val="24"/>
        </w:rPr>
        <w:t xml:space="preserve">ITP and experienced an inadequate response to </w:t>
      </w:r>
      <w:r w:rsidR="001D6E36">
        <w:rPr>
          <w:rFonts w:ascii="Calibri" w:hAnsi="Calibri" w:cs="Calibri"/>
          <w:sz w:val="24"/>
        </w:rPr>
        <w:t>a previous treatment</w:t>
      </w:r>
      <w:r w:rsidR="00037A5C" w:rsidRPr="00BD21AA">
        <w:rPr>
          <w:rFonts w:ascii="Calibri" w:hAnsi="Calibri" w:cs="Calibri"/>
          <w:sz w:val="24"/>
        </w:rPr>
        <w:t xml:space="preserve">. </w:t>
      </w:r>
      <w:bookmarkStart w:id="1" w:name="_Hlk137028969"/>
      <w:r w:rsidR="00F42F07" w:rsidRPr="00BD21AA">
        <w:rPr>
          <w:rFonts w:ascii="Calibri" w:hAnsi="Calibri" w:cs="Calibri"/>
          <w:sz w:val="24"/>
        </w:rPr>
        <w:t xml:space="preserve">WAYRILZ is indicated for the treatment of adult patients with persistent or chronic immune thrombocytopenia (ITP) who have had an </w:t>
      </w:r>
      <w:r w:rsidR="00F42F07" w:rsidRPr="00BD21AA" w:rsidDel="00BE11E4">
        <w:rPr>
          <w:rFonts w:ascii="Calibri" w:hAnsi="Calibri" w:cs="Calibri"/>
          <w:sz w:val="24"/>
        </w:rPr>
        <w:t xml:space="preserve">insufficient response </w:t>
      </w:r>
      <w:r w:rsidR="00F42F07" w:rsidRPr="00BD21AA">
        <w:rPr>
          <w:rFonts w:ascii="Calibri" w:hAnsi="Calibri" w:cs="Calibri"/>
          <w:sz w:val="24"/>
        </w:rPr>
        <w:t>to</w:t>
      </w:r>
      <w:r w:rsidR="001D6E36">
        <w:rPr>
          <w:rFonts w:ascii="Calibri" w:hAnsi="Calibri" w:cs="Calibri"/>
          <w:sz w:val="24"/>
        </w:rPr>
        <w:t xml:space="preserve"> a previous treatment.</w:t>
      </w:r>
      <w:r w:rsidR="00F42F07" w:rsidRPr="00BD21AA">
        <w:rPr>
          <w:rFonts w:ascii="Calibri" w:hAnsi="Calibri" w:cs="Calibri"/>
          <w:sz w:val="24"/>
        </w:rPr>
        <w:t xml:space="preserve">  </w:t>
      </w:r>
    </w:p>
    <w:p w14:paraId="21CA4DB1" w14:textId="51148FB1" w:rsidR="002E65C9" w:rsidRPr="000F73B7" w:rsidRDefault="002E65C9" w:rsidP="000F73B7">
      <w:pPr>
        <w:pStyle w:val="ListParagraph"/>
        <w:autoSpaceDE w:val="0"/>
        <w:autoSpaceDN w:val="0"/>
        <w:adjustRightInd w:val="0"/>
        <w:ind w:left="0"/>
        <w:rPr>
          <w:rFonts w:asciiTheme="minorHAnsi" w:hAnsiTheme="minorHAnsi" w:cstheme="minorHAnsi"/>
          <w:sz w:val="16"/>
          <w:szCs w:val="16"/>
        </w:rPr>
      </w:pPr>
    </w:p>
    <w:bookmarkEnd w:id="1"/>
    <w:p w14:paraId="3B7DF0AE" w14:textId="77777777" w:rsidR="004C349A" w:rsidRPr="00994743" w:rsidRDefault="004C349A" w:rsidP="004C349A">
      <w:pPr>
        <w:rPr>
          <w:rFonts w:asciiTheme="minorHAnsi" w:hAnsiTheme="minorHAnsi" w:cstheme="minorHAnsi"/>
          <w:sz w:val="24"/>
        </w:rPr>
      </w:pPr>
      <w:r>
        <w:rPr>
          <w:rFonts w:asciiTheme="minorHAnsi" w:hAnsiTheme="minorHAnsi" w:cstheme="minorHAnsi"/>
          <w:sz w:val="24"/>
        </w:rPr>
        <w:t xml:space="preserve">Based on my medical opinion and knowledge of the patient’s history it </w:t>
      </w:r>
      <w:r w:rsidRPr="00994743">
        <w:rPr>
          <w:rFonts w:asciiTheme="minorHAnsi" w:hAnsiTheme="minorHAnsi" w:cstheme="minorHAnsi"/>
          <w:sz w:val="24"/>
        </w:rPr>
        <w:t xml:space="preserve">is important </w:t>
      </w:r>
      <w:r>
        <w:rPr>
          <w:rFonts w:asciiTheme="minorHAnsi" w:hAnsiTheme="minorHAnsi" w:cstheme="minorHAnsi"/>
          <w:sz w:val="24"/>
        </w:rPr>
        <w:t xml:space="preserve">that </w:t>
      </w:r>
      <w:r w:rsidRPr="00994743">
        <w:rPr>
          <w:rFonts w:asciiTheme="minorHAnsi" w:hAnsiTheme="minorHAnsi" w:cstheme="minorHAnsi"/>
          <w:sz w:val="24"/>
        </w:rPr>
        <w:t>my patient to receive the treatment I believe is most appropriate in a timely manner. I am requesting authorization for coverage of WAYRILZ</w:t>
      </w:r>
      <w:r>
        <w:rPr>
          <w:rFonts w:asciiTheme="minorHAnsi" w:hAnsiTheme="minorHAnsi" w:cstheme="minorHAnsi"/>
          <w:sz w:val="24"/>
        </w:rPr>
        <w:t>.</w:t>
      </w:r>
      <w:r w:rsidRPr="00994743">
        <w:rPr>
          <w:rFonts w:asciiTheme="minorHAnsi" w:hAnsiTheme="minorHAnsi" w:cstheme="minorHAnsi"/>
          <w:sz w:val="24"/>
        </w:rPr>
        <w:t xml:space="preserve"> </w:t>
      </w:r>
    </w:p>
    <w:p w14:paraId="17E4B29E" w14:textId="77777777" w:rsidR="007E3EBF" w:rsidRPr="00E81D74" w:rsidRDefault="007E3EBF" w:rsidP="00E81D74">
      <w:pPr>
        <w:pStyle w:val="Default"/>
        <w:rPr>
          <w:rFonts w:asciiTheme="minorHAnsi" w:hAnsiTheme="minorHAnsi" w:cstheme="minorHAnsi"/>
          <w:color w:val="auto"/>
          <w:sz w:val="16"/>
          <w:szCs w:val="16"/>
        </w:rPr>
      </w:pPr>
    </w:p>
    <w:p w14:paraId="5CA67DF6" w14:textId="65F0D8B6" w:rsidR="007E3EBF" w:rsidRPr="00BD21AA" w:rsidRDefault="0041091B" w:rsidP="00BD21AA">
      <w:pPr>
        <w:rPr>
          <w:rFonts w:ascii="Calibri" w:hAnsi="Calibri" w:cs="Calibri"/>
          <w:sz w:val="24"/>
        </w:rPr>
      </w:pPr>
      <w:r w:rsidRPr="00BD21AA">
        <w:rPr>
          <w:rFonts w:ascii="Calibri" w:hAnsi="Calibri" w:cs="Calibri"/>
          <w:sz w:val="24"/>
        </w:rPr>
        <w:t xml:space="preserve">According to the information in </w:t>
      </w:r>
      <w:r w:rsidRPr="00BD21AA">
        <w:rPr>
          <w:rFonts w:ascii="Calibri" w:hAnsi="Calibri" w:cs="Calibri"/>
          <w:color w:val="FF0000"/>
          <w:sz w:val="24"/>
        </w:rPr>
        <w:t>[Patient Name]</w:t>
      </w:r>
      <w:r w:rsidRPr="00BD21AA">
        <w:rPr>
          <w:rFonts w:ascii="Calibri" w:hAnsi="Calibri" w:cs="Calibri"/>
          <w:sz w:val="24"/>
        </w:rPr>
        <w:t xml:space="preserve">'s </w:t>
      </w:r>
      <w:r w:rsidRPr="00BD21AA">
        <w:rPr>
          <w:rFonts w:ascii="Calibri" w:eastAsiaTheme="minorHAnsi" w:hAnsi="Calibri" w:cs="Calibri"/>
          <w:color w:val="000000"/>
          <w:sz w:val="24"/>
        </w:rPr>
        <w:t>health plan</w:t>
      </w:r>
      <w:r w:rsidR="004621AF" w:rsidRPr="00BD21AA">
        <w:rPr>
          <w:rFonts w:ascii="Calibri" w:eastAsiaTheme="minorHAnsi" w:hAnsi="Calibri" w:cs="Calibri"/>
          <w:color w:val="000000"/>
          <w:sz w:val="24"/>
        </w:rPr>
        <w:t>,</w:t>
      </w:r>
      <w:r w:rsidRPr="00BD21AA">
        <w:rPr>
          <w:rFonts w:ascii="Calibri" w:hAnsi="Calibri" w:cs="Calibri"/>
          <w:sz w:val="24"/>
        </w:rPr>
        <w:t xml:space="preserve"> </w:t>
      </w:r>
      <w:r w:rsidR="00221116" w:rsidRPr="00BD21AA">
        <w:rPr>
          <w:rFonts w:ascii="Calibri" w:hAnsi="Calibri" w:cs="Calibri"/>
          <w:sz w:val="24"/>
        </w:rPr>
        <w:t>the treatment of</w:t>
      </w:r>
      <w:r w:rsidR="007E3EBF" w:rsidRPr="00BD21AA">
        <w:rPr>
          <w:rFonts w:ascii="Calibri" w:hAnsi="Calibri" w:cs="Calibri"/>
          <w:sz w:val="24"/>
        </w:rPr>
        <w:t xml:space="preserve"> </w:t>
      </w:r>
      <w:r w:rsidR="009A7D2E" w:rsidRPr="00BD21AA">
        <w:rPr>
          <w:rFonts w:ascii="Calibri" w:hAnsi="Calibri" w:cs="Calibri"/>
          <w:color w:val="FF0000"/>
          <w:sz w:val="24"/>
        </w:rPr>
        <w:t>[</w:t>
      </w:r>
      <w:r w:rsidR="007E3EBF" w:rsidRPr="00BD21AA">
        <w:rPr>
          <w:rFonts w:ascii="Calibri" w:hAnsi="Calibri" w:cs="Calibri"/>
          <w:color w:val="FF0000"/>
          <w:sz w:val="24"/>
        </w:rPr>
        <w:t>persistent or chronic</w:t>
      </w:r>
      <w:r w:rsidR="009A7D2E" w:rsidRPr="00BD21AA">
        <w:rPr>
          <w:rFonts w:ascii="Calibri" w:hAnsi="Calibri" w:cs="Calibri"/>
          <w:color w:val="FF0000"/>
          <w:sz w:val="24"/>
        </w:rPr>
        <w:t>]</w:t>
      </w:r>
      <w:r w:rsidR="007E3EBF" w:rsidRPr="00BD21AA">
        <w:rPr>
          <w:rFonts w:ascii="Calibri" w:hAnsi="Calibri" w:cs="Calibri"/>
          <w:color w:val="FF0000"/>
          <w:sz w:val="24"/>
        </w:rPr>
        <w:t xml:space="preserve"> </w:t>
      </w:r>
      <w:r w:rsidR="007E3EBF" w:rsidRPr="00BD21AA">
        <w:rPr>
          <w:rFonts w:ascii="Calibri" w:hAnsi="Calibri" w:cs="Calibri"/>
          <w:sz w:val="24"/>
        </w:rPr>
        <w:t>ITP</w:t>
      </w:r>
      <w:r w:rsidR="00BD21AA" w:rsidRPr="00BD21AA">
        <w:rPr>
          <w:rFonts w:ascii="Calibri" w:hAnsi="Calibri" w:cs="Calibri"/>
          <w:sz w:val="24"/>
        </w:rPr>
        <w:t xml:space="preserve"> in patients who have had an </w:t>
      </w:r>
      <w:r w:rsidR="00BD21AA" w:rsidRPr="00BD21AA" w:rsidDel="00BE11E4">
        <w:rPr>
          <w:rFonts w:ascii="Calibri" w:hAnsi="Calibri" w:cs="Calibri"/>
          <w:sz w:val="24"/>
        </w:rPr>
        <w:t xml:space="preserve">insufficient response </w:t>
      </w:r>
      <w:r w:rsidR="00BD21AA" w:rsidRPr="00BD21AA">
        <w:rPr>
          <w:rFonts w:ascii="Calibri" w:hAnsi="Calibri" w:cs="Calibri"/>
          <w:sz w:val="24"/>
        </w:rPr>
        <w:t xml:space="preserve">to </w:t>
      </w:r>
      <w:r w:rsidR="00DC5B3A">
        <w:rPr>
          <w:rFonts w:ascii="Calibri" w:hAnsi="Calibri" w:cs="Calibri"/>
          <w:sz w:val="24"/>
        </w:rPr>
        <w:t>a previous ITP treatment</w:t>
      </w:r>
      <w:r w:rsidR="0091601C">
        <w:rPr>
          <w:rFonts w:ascii="Calibri" w:hAnsi="Calibri" w:cs="Calibri"/>
          <w:sz w:val="24"/>
        </w:rPr>
        <w:t xml:space="preserve"> </w:t>
      </w:r>
      <w:r w:rsidR="007E3EBF" w:rsidRPr="00BD21AA">
        <w:rPr>
          <w:rFonts w:ascii="Calibri" w:hAnsi="Calibri" w:cs="Calibri"/>
          <w:sz w:val="24"/>
        </w:rPr>
        <w:t xml:space="preserve">is within the approved label for WAYRILZ </w:t>
      </w:r>
      <w:r w:rsidR="004C349A" w:rsidRPr="00BD21AA">
        <w:rPr>
          <w:rFonts w:ascii="Calibri" w:hAnsi="Calibri" w:cs="Calibri"/>
          <w:sz w:val="24"/>
        </w:rPr>
        <w:t>and</w:t>
      </w:r>
      <w:r w:rsidR="007E3EBF" w:rsidRPr="00BD21AA">
        <w:rPr>
          <w:rFonts w:ascii="Calibri" w:hAnsi="Calibri" w:cs="Calibri"/>
          <w:sz w:val="24"/>
        </w:rPr>
        <w:t xml:space="preserve"> should be fully covered</w:t>
      </w:r>
      <w:r w:rsidR="00EE4893" w:rsidRPr="00BD21AA">
        <w:rPr>
          <w:rFonts w:ascii="Calibri" w:hAnsi="Calibri" w:cs="Calibri"/>
          <w:sz w:val="24"/>
        </w:rPr>
        <w:t xml:space="preserve"> for my patient, </w:t>
      </w:r>
      <w:r w:rsidR="00EE4893" w:rsidRPr="00BD21AA">
        <w:rPr>
          <w:rFonts w:ascii="Calibri" w:hAnsi="Calibri" w:cs="Calibri"/>
          <w:color w:val="FF0000"/>
          <w:sz w:val="24"/>
        </w:rPr>
        <w:t>[Patient Name]</w:t>
      </w:r>
      <w:r w:rsidR="007E3EBF" w:rsidRPr="00BD21AA">
        <w:rPr>
          <w:rFonts w:ascii="Calibri" w:hAnsi="Calibri" w:cs="Calibri"/>
          <w:sz w:val="24"/>
        </w:rPr>
        <w:t xml:space="preserve">.     </w:t>
      </w:r>
    </w:p>
    <w:p w14:paraId="26605378" w14:textId="77777777" w:rsidR="000F73B7" w:rsidRPr="000F73B7" w:rsidRDefault="000F73B7" w:rsidP="000F73B7">
      <w:pPr>
        <w:pStyle w:val="Default"/>
        <w:rPr>
          <w:rFonts w:asciiTheme="minorHAnsi" w:hAnsiTheme="minorHAnsi" w:cstheme="minorHAnsi"/>
          <w:sz w:val="16"/>
          <w:szCs w:val="16"/>
        </w:rPr>
      </w:pPr>
    </w:p>
    <w:p w14:paraId="739E590A" w14:textId="40DBAE7B" w:rsidR="000F17E3" w:rsidRPr="000F73B7" w:rsidRDefault="000F17E3" w:rsidP="000F73B7">
      <w:pPr>
        <w:pStyle w:val="Default"/>
        <w:rPr>
          <w:rFonts w:asciiTheme="minorHAnsi" w:hAnsiTheme="minorHAnsi" w:cstheme="minorHAnsi"/>
        </w:rPr>
      </w:pPr>
      <w:r w:rsidRPr="000F73B7">
        <w:rPr>
          <w:rFonts w:asciiTheme="minorHAnsi" w:hAnsiTheme="minorHAnsi" w:cstheme="minorHAnsi"/>
        </w:rPr>
        <w:t xml:space="preserve">Please call my office at </w:t>
      </w:r>
      <w:r w:rsidRPr="000C3F9B">
        <w:rPr>
          <w:rFonts w:asciiTheme="minorHAnsi" w:hAnsiTheme="minorHAnsi" w:cstheme="minorHAnsi"/>
          <w:color w:val="FF0000"/>
        </w:rPr>
        <w:t>[Telephone Number]</w:t>
      </w:r>
      <w:r w:rsidRPr="000C3F9B">
        <w:rPr>
          <w:rFonts w:asciiTheme="minorHAnsi" w:hAnsiTheme="minorHAnsi" w:cstheme="minorHAnsi"/>
          <w:b/>
          <w:bCs/>
          <w:color w:val="FF0000"/>
        </w:rPr>
        <w:t xml:space="preserve"> </w:t>
      </w:r>
      <w:r w:rsidRPr="000F73B7">
        <w:rPr>
          <w:rFonts w:asciiTheme="minorHAnsi" w:hAnsiTheme="minorHAnsi" w:cstheme="minorHAnsi"/>
        </w:rPr>
        <w:t xml:space="preserve">if I can provide you with any additional information. I look forward to receiving your timely approval of this authorization. </w:t>
      </w:r>
    </w:p>
    <w:p w14:paraId="3880151A" w14:textId="77777777" w:rsidR="007E3EBF" w:rsidRDefault="007E3EBF" w:rsidP="000F73B7">
      <w:pPr>
        <w:pStyle w:val="Default"/>
        <w:rPr>
          <w:rFonts w:asciiTheme="minorHAnsi" w:hAnsiTheme="minorHAnsi" w:cstheme="minorHAnsi"/>
        </w:rPr>
      </w:pPr>
    </w:p>
    <w:p w14:paraId="1CCAD390" w14:textId="68985EF7" w:rsidR="000F17E3" w:rsidRPr="000F73B7" w:rsidRDefault="000F17E3" w:rsidP="000F73B7">
      <w:pPr>
        <w:pStyle w:val="Default"/>
        <w:rPr>
          <w:rFonts w:asciiTheme="minorHAnsi" w:hAnsiTheme="minorHAnsi" w:cstheme="minorHAnsi"/>
        </w:rPr>
      </w:pPr>
      <w:r w:rsidRPr="000F73B7">
        <w:rPr>
          <w:rFonts w:asciiTheme="minorHAnsi" w:hAnsiTheme="minorHAnsi" w:cstheme="minorHAnsi"/>
        </w:rPr>
        <w:t xml:space="preserve">Sincerely, </w:t>
      </w:r>
    </w:p>
    <w:p w14:paraId="2C2309C4" w14:textId="29C3D948" w:rsidR="00FC00EB" w:rsidRDefault="000F17E3" w:rsidP="000F73B7">
      <w:pPr>
        <w:rPr>
          <w:rFonts w:asciiTheme="minorHAnsi" w:hAnsiTheme="minorHAnsi" w:cstheme="minorHAnsi"/>
          <w:color w:val="FF0000"/>
          <w:sz w:val="24"/>
        </w:rPr>
      </w:pPr>
      <w:r w:rsidRPr="000C3F9B">
        <w:rPr>
          <w:rFonts w:asciiTheme="minorHAnsi" w:hAnsiTheme="minorHAnsi" w:cstheme="minorHAnsi"/>
          <w:color w:val="FF0000"/>
          <w:sz w:val="24"/>
        </w:rPr>
        <w:t xml:space="preserve">[Physician </w:t>
      </w:r>
      <w:r w:rsidR="00FF42FD">
        <w:rPr>
          <w:rFonts w:asciiTheme="minorHAnsi" w:hAnsiTheme="minorHAnsi" w:cstheme="minorHAnsi"/>
          <w:color w:val="FF0000"/>
          <w:sz w:val="24"/>
        </w:rPr>
        <w:t>N</w:t>
      </w:r>
      <w:r w:rsidRPr="000C3F9B">
        <w:rPr>
          <w:rFonts w:asciiTheme="minorHAnsi" w:hAnsiTheme="minorHAnsi" w:cstheme="minorHAnsi"/>
          <w:color w:val="FF0000"/>
          <w:sz w:val="24"/>
        </w:rPr>
        <w:t>ame</w:t>
      </w:r>
      <w:r w:rsidR="0011551B" w:rsidRPr="000C3F9B">
        <w:rPr>
          <w:rFonts w:asciiTheme="minorHAnsi" w:hAnsiTheme="minorHAnsi" w:cstheme="minorHAnsi"/>
          <w:color w:val="FF0000"/>
          <w:sz w:val="24"/>
        </w:rPr>
        <w:t>, Credentials,</w:t>
      </w:r>
      <w:r w:rsidRPr="000C3F9B">
        <w:rPr>
          <w:rFonts w:asciiTheme="minorHAnsi" w:hAnsiTheme="minorHAnsi" w:cstheme="minorHAnsi"/>
          <w:color w:val="FF0000"/>
          <w:sz w:val="24"/>
        </w:rPr>
        <w:t xml:space="preserve"> and Participating Provider Number]</w:t>
      </w:r>
    </w:p>
    <w:p w14:paraId="625127B1" w14:textId="77777777" w:rsidR="00743E9E" w:rsidRDefault="00743E9E" w:rsidP="000F73B7">
      <w:pPr>
        <w:rPr>
          <w:rFonts w:asciiTheme="minorHAnsi" w:hAnsiTheme="minorHAnsi" w:cstheme="minorHAnsi"/>
          <w:color w:val="FF0000"/>
          <w:sz w:val="24"/>
        </w:rPr>
      </w:pPr>
    </w:p>
    <w:p w14:paraId="19A52DCF" w14:textId="77777777" w:rsidR="005E29AF" w:rsidRPr="005E29AF" w:rsidRDefault="005E29AF" w:rsidP="005E29AF">
      <w:pPr>
        <w:spacing w:after="160" w:line="259" w:lineRule="auto"/>
        <w:rPr>
          <w:rFonts w:ascii="Aptos" w:eastAsia="Aptos" w:hAnsi="Aptos" w:cs="Times New Roman"/>
          <w:b/>
          <w:bCs/>
          <w:kern w:val="2"/>
          <w:szCs w:val="22"/>
          <w:u w:val="single"/>
          <w14:ligatures w14:val="standardContextual"/>
        </w:rPr>
      </w:pPr>
      <w:r w:rsidRPr="005E29AF">
        <w:rPr>
          <w:rFonts w:ascii="Aptos" w:eastAsia="Aptos" w:hAnsi="Aptos" w:cs="Times New Roman"/>
          <w:b/>
          <w:bCs/>
          <w:kern w:val="2"/>
          <w:szCs w:val="22"/>
          <w:u w:val="single"/>
          <w14:ligatures w14:val="standardContextual"/>
        </w:rPr>
        <w:t>INDICATION</w:t>
      </w:r>
    </w:p>
    <w:p w14:paraId="70DB1126" w14:textId="77777777" w:rsidR="005E29AF" w:rsidRPr="005E29AF" w:rsidRDefault="005E29AF" w:rsidP="005E29AF">
      <w:pPr>
        <w:spacing w:after="160" w:line="259" w:lineRule="auto"/>
        <w:rPr>
          <w:rFonts w:ascii="Aptos" w:eastAsia="Aptos" w:hAnsi="Aptos" w:cs="Times New Roman"/>
          <w:kern w:val="2"/>
          <w:szCs w:val="22"/>
          <w14:ligatures w14:val="standardContextual"/>
        </w:rPr>
      </w:pPr>
      <w:bookmarkStart w:id="2" w:name="_Hlk199335792"/>
      <w:r w:rsidRPr="005E29AF">
        <w:rPr>
          <w:rFonts w:ascii="Aptos" w:eastAsia="Aptos" w:hAnsi="Aptos" w:cs="Times New Roman"/>
          <w:kern w:val="2"/>
          <w:szCs w:val="22"/>
          <w14:ligatures w14:val="standardContextual"/>
        </w:rPr>
        <w:t xml:space="preserve">WAYRILZ is indicated for the treatment of adult patients with persistent or chronic immune thrombocytopenia (ITP) who have had an </w:t>
      </w:r>
      <w:r w:rsidRPr="005E29AF" w:rsidDel="00BE11E4">
        <w:rPr>
          <w:rFonts w:ascii="Aptos" w:eastAsia="Aptos" w:hAnsi="Aptos" w:cs="Times New Roman"/>
          <w:kern w:val="2"/>
          <w:szCs w:val="22"/>
          <w14:ligatures w14:val="standardContextual"/>
        </w:rPr>
        <w:t xml:space="preserve">insufficient response </w:t>
      </w:r>
      <w:r w:rsidRPr="005E29AF">
        <w:rPr>
          <w:rFonts w:ascii="Aptos" w:eastAsia="Aptos" w:hAnsi="Aptos" w:cs="Times New Roman"/>
          <w:kern w:val="2"/>
          <w:szCs w:val="22"/>
          <w14:ligatures w14:val="standardContextual"/>
        </w:rPr>
        <w:t xml:space="preserve">to a previous treatment. </w:t>
      </w:r>
    </w:p>
    <w:bookmarkEnd w:id="2"/>
    <w:p w14:paraId="1F2DCC6D" w14:textId="77777777" w:rsidR="005E29AF" w:rsidRPr="005E29AF" w:rsidRDefault="005E29AF" w:rsidP="005E29AF">
      <w:pPr>
        <w:spacing w:line="259" w:lineRule="auto"/>
        <w:rPr>
          <w:rFonts w:ascii="Aptos" w:eastAsia="Aptos" w:hAnsi="Aptos" w:cs="Times New Roman"/>
          <w:b/>
          <w:bCs/>
          <w:kern w:val="2"/>
          <w:szCs w:val="22"/>
          <w14:ligatures w14:val="standardContextual"/>
        </w:rPr>
      </w:pPr>
    </w:p>
    <w:p w14:paraId="3B08418C" w14:textId="77777777" w:rsidR="005E29AF" w:rsidRPr="005E29AF" w:rsidRDefault="005E29AF" w:rsidP="005E29AF">
      <w:pPr>
        <w:spacing w:after="160" w:line="259" w:lineRule="auto"/>
        <w:rPr>
          <w:rFonts w:ascii="Aptos" w:eastAsia="Aptos" w:hAnsi="Aptos" w:cs="Times New Roman"/>
          <w:b/>
          <w:bCs/>
          <w:kern w:val="2"/>
          <w:szCs w:val="22"/>
          <w:u w:val="single"/>
          <w14:ligatures w14:val="standardContextual"/>
        </w:rPr>
      </w:pPr>
      <w:r w:rsidRPr="005E29AF">
        <w:rPr>
          <w:rFonts w:ascii="Aptos" w:eastAsia="Aptos" w:hAnsi="Aptos" w:cs="Times New Roman"/>
          <w:b/>
          <w:bCs/>
          <w:kern w:val="2"/>
          <w:szCs w:val="22"/>
          <w:u w:val="single"/>
          <w14:ligatures w14:val="standardContextual"/>
        </w:rPr>
        <w:t>IMPORTANT SAFETY INFORMATION</w:t>
      </w:r>
    </w:p>
    <w:p w14:paraId="46C76A6E" w14:textId="77777777" w:rsidR="005E29AF" w:rsidRPr="005E29AF" w:rsidRDefault="005E29AF" w:rsidP="005E29AF">
      <w:pPr>
        <w:spacing w:after="160" w:line="259" w:lineRule="auto"/>
        <w:rPr>
          <w:rFonts w:ascii="Aptos" w:eastAsia="Aptos" w:hAnsi="Aptos" w:cs="Times New Roman"/>
          <w:b/>
          <w:bCs/>
          <w:kern w:val="2"/>
          <w:szCs w:val="22"/>
          <w14:ligatures w14:val="standardContextual"/>
        </w:rPr>
      </w:pPr>
      <w:r w:rsidRPr="005E29AF">
        <w:rPr>
          <w:rFonts w:ascii="Aptos" w:eastAsia="Aptos" w:hAnsi="Aptos" w:cs="Times New Roman"/>
          <w:b/>
          <w:bCs/>
          <w:kern w:val="2"/>
          <w:szCs w:val="22"/>
          <w14:ligatures w14:val="standardContextual"/>
        </w:rPr>
        <w:t>WARNINGS AND PRECAUTIONS</w:t>
      </w:r>
    </w:p>
    <w:p w14:paraId="6B4ADE3E" w14:textId="77777777" w:rsidR="005E29AF" w:rsidRPr="005E29AF" w:rsidRDefault="005E29AF" w:rsidP="005E29AF">
      <w:pPr>
        <w:spacing w:after="160" w:line="259" w:lineRule="auto"/>
        <w:rPr>
          <w:rFonts w:ascii="Aptos" w:eastAsia="Aptos" w:hAnsi="Aptos" w:cs="Times New Roman"/>
          <w:kern w:val="2"/>
          <w:szCs w:val="22"/>
          <w14:ligatures w14:val="standardContextual"/>
        </w:rPr>
      </w:pPr>
      <w:r w:rsidRPr="005E29AF">
        <w:rPr>
          <w:rFonts w:ascii="Aptos" w:eastAsia="Aptos" w:hAnsi="Aptos" w:cs="Times New Roman"/>
          <w:b/>
          <w:bCs/>
          <w:kern w:val="2"/>
          <w:szCs w:val="22"/>
          <w14:ligatures w14:val="standardContextual"/>
        </w:rPr>
        <w:t xml:space="preserve">Serious Infections: </w:t>
      </w:r>
      <w:r w:rsidRPr="005E29AF">
        <w:rPr>
          <w:rFonts w:ascii="Aptos" w:eastAsia="Aptos" w:hAnsi="Aptos" w:cs="Times New Roman"/>
          <w:kern w:val="2"/>
          <w:szCs w:val="22"/>
          <w14:ligatures w14:val="standardContextual"/>
        </w:rPr>
        <w:t xml:space="preserve">An increased risk of serious infections (including bacterial, viral, or fungal) can occur in patients treated with Bruton’s tyrosine kinase (BTK) inhibitors, including WAYRILZ. Fatal pneumonia occurred in one participant treated with WAYRILZ in the LUNA-3 trial. Other serious infections [one each (0.8%)] included COVID-19 infection, wound infection, urinary tract infection and kidney abscess.  Monitor patients for signs and symptoms of infection and treat appropriately.  </w:t>
      </w:r>
    </w:p>
    <w:p w14:paraId="323CDA06" w14:textId="77777777" w:rsidR="005E29AF" w:rsidRPr="005E29AF" w:rsidRDefault="005E29AF" w:rsidP="005E29AF">
      <w:pPr>
        <w:spacing w:after="160" w:line="259" w:lineRule="auto"/>
        <w:rPr>
          <w:rFonts w:ascii="Aptos" w:eastAsia="Aptos" w:hAnsi="Aptos" w:cs="Times New Roman"/>
          <w:b/>
          <w:bCs/>
          <w:kern w:val="2"/>
          <w:szCs w:val="22"/>
          <w14:ligatures w14:val="standardContextual"/>
        </w:rPr>
      </w:pPr>
      <w:r w:rsidRPr="005E29AF">
        <w:rPr>
          <w:rFonts w:ascii="Aptos" w:eastAsia="Aptos" w:hAnsi="Aptos" w:cs="Times New Roman"/>
          <w:b/>
          <w:bCs/>
          <w:kern w:val="2"/>
          <w:szCs w:val="22"/>
          <w14:ligatures w14:val="standardContextual"/>
        </w:rPr>
        <w:t xml:space="preserve">Hepatotoxicity, Including Drug-Induced Liver Injury (DILI): </w:t>
      </w:r>
      <w:r w:rsidRPr="005E29AF">
        <w:rPr>
          <w:rFonts w:ascii="Aptos" w:eastAsia="Aptos" w:hAnsi="Aptos" w:cs="Times New Roman"/>
          <w:kern w:val="2"/>
          <w:szCs w:val="22"/>
          <w14:ligatures w14:val="standardContextual"/>
        </w:rPr>
        <w:t>Hepatotoxicity, including severe, life-threatening, and potentially fatal cases of DILI, can occur in patients treated with BTK inhibitors. Elevations of liver transaminases occurred with WAYRILZ in the ITP clinical trials and were generally mild to moderate in severity. Evaluate bilirubin and transaminases at baseline and as clinically indicated during treatment with WAYRILZ. For patients who develop abnormal liver tests after WAYRILZ, monitor more frequently. If DILI is suspected, withhold WAYRILZ. Upon confirmation of DILI, discontinue WAYRILZ.</w:t>
      </w:r>
    </w:p>
    <w:p w14:paraId="6384E86D" w14:textId="77777777" w:rsidR="005E29AF" w:rsidRPr="005E29AF" w:rsidRDefault="005E29AF" w:rsidP="005E29AF">
      <w:pPr>
        <w:spacing w:after="160" w:line="259" w:lineRule="auto"/>
        <w:rPr>
          <w:rFonts w:ascii="Aptos" w:eastAsia="Aptos" w:hAnsi="Aptos" w:cs="Times New Roman"/>
          <w:b/>
          <w:kern w:val="2"/>
          <w:szCs w:val="22"/>
          <w14:ligatures w14:val="standardContextual"/>
        </w:rPr>
      </w:pPr>
      <w:r w:rsidRPr="005E29AF">
        <w:rPr>
          <w:rFonts w:ascii="Aptos" w:eastAsia="Aptos" w:hAnsi="Aptos" w:cs="Times New Roman"/>
          <w:b/>
          <w:kern w:val="2"/>
          <w:szCs w:val="22"/>
          <w14:ligatures w14:val="standardContextual"/>
        </w:rPr>
        <w:t xml:space="preserve">Embryo-Fetal Toxicity: </w:t>
      </w:r>
      <w:r w:rsidRPr="005E29AF">
        <w:rPr>
          <w:rFonts w:ascii="Aptos" w:eastAsia="Aptos" w:hAnsi="Aptos" w:cs="Times New Roman"/>
          <w:bCs/>
          <w:kern w:val="2"/>
          <w:szCs w:val="22"/>
          <w14:ligatures w14:val="standardContextual"/>
        </w:rPr>
        <w:t xml:space="preserve">Based on findings from preliminary animal reproduction studies, WAYRILZ may cause fetal harm when administered to a pregnant woman. Verify pregnancy status of females </w:t>
      </w:r>
      <w:r w:rsidRPr="005E29AF">
        <w:rPr>
          <w:rFonts w:ascii="Aptos" w:eastAsia="Aptos" w:hAnsi="Aptos" w:cs="Times New Roman"/>
          <w:bCs/>
          <w:kern w:val="2"/>
          <w:szCs w:val="22"/>
          <w14:ligatures w14:val="standardContextual"/>
        </w:rPr>
        <w:lastRenderedPageBreak/>
        <w:t xml:space="preserve">of reproductive potential prior to initiating WAYRILZ treatment. </w:t>
      </w:r>
      <w:r w:rsidRPr="005E29AF">
        <w:rPr>
          <w:rFonts w:ascii="Aptos" w:eastAsia="Aptos" w:hAnsi="Aptos" w:cs="Times New Roman"/>
          <w:kern w:val="2"/>
          <w:szCs w:val="22"/>
          <w14:ligatures w14:val="standardContextual"/>
        </w:rPr>
        <w:t>Advise females of reproductive potential to</w:t>
      </w:r>
      <w:r w:rsidRPr="005E29AF">
        <w:rPr>
          <w:rFonts w:ascii="Aptos" w:eastAsia="Aptos" w:hAnsi="Aptos" w:cs="Times New Roman"/>
          <w:bCs/>
          <w:kern w:val="2"/>
          <w:szCs w:val="22"/>
          <w14:ligatures w14:val="standardContextual"/>
        </w:rPr>
        <w:t xml:space="preserve"> use effective contraception while taking WAYRILZ and for 1 week after the final dose. </w:t>
      </w:r>
    </w:p>
    <w:p w14:paraId="7CD58C0A" w14:textId="77777777" w:rsidR="005E29AF" w:rsidRPr="005E29AF" w:rsidRDefault="005E29AF" w:rsidP="005E29AF">
      <w:pPr>
        <w:spacing w:after="160" w:line="259" w:lineRule="auto"/>
        <w:rPr>
          <w:rFonts w:ascii="Aptos" w:eastAsia="Aptos" w:hAnsi="Aptos" w:cs="Times New Roman"/>
          <w:b/>
          <w:bCs/>
          <w:kern w:val="2"/>
          <w:szCs w:val="22"/>
          <w14:ligatures w14:val="standardContextual"/>
        </w:rPr>
      </w:pPr>
      <w:r w:rsidRPr="005E29AF">
        <w:rPr>
          <w:rFonts w:ascii="Aptos" w:eastAsia="Aptos" w:hAnsi="Aptos" w:cs="Times New Roman"/>
          <w:b/>
          <w:bCs/>
          <w:kern w:val="2"/>
          <w:szCs w:val="22"/>
          <w14:ligatures w14:val="standardContextual"/>
        </w:rPr>
        <w:t>ADVERSE REACTIONS</w:t>
      </w:r>
    </w:p>
    <w:p w14:paraId="276A51CC" w14:textId="77777777" w:rsidR="005E29AF" w:rsidRPr="005E29AF" w:rsidRDefault="005E29AF" w:rsidP="005E29AF">
      <w:pPr>
        <w:spacing w:after="160" w:line="259" w:lineRule="auto"/>
        <w:rPr>
          <w:rFonts w:ascii="Aptos" w:eastAsia="Aptos" w:hAnsi="Aptos" w:cs="Times New Roman"/>
          <w:kern w:val="2"/>
          <w:szCs w:val="22"/>
          <w14:ligatures w14:val="standardContextual"/>
        </w:rPr>
      </w:pPr>
      <w:r w:rsidRPr="005E29AF">
        <w:rPr>
          <w:rFonts w:ascii="Aptos" w:eastAsia="Aptos" w:hAnsi="Aptos" w:cs="Times New Roman"/>
          <w:kern w:val="2"/>
          <w:szCs w:val="22"/>
          <w14:ligatures w14:val="standardContextual"/>
        </w:rPr>
        <w:t>Most common adverse reactions reported (incidence ≥10%) were diarrhea, nausea, headache, abdominal pain, and COVID-19.</w:t>
      </w:r>
    </w:p>
    <w:p w14:paraId="34D0C3D2" w14:textId="77777777" w:rsidR="005E29AF" w:rsidRPr="005E29AF" w:rsidRDefault="005E29AF" w:rsidP="005E29AF">
      <w:pPr>
        <w:spacing w:after="160" w:line="259" w:lineRule="auto"/>
        <w:rPr>
          <w:rFonts w:ascii="Aptos" w:eastAsia="Aptos" w:hAnsi="Aptos" w:cs="Times New Roman"/>
          <w:b/>
          <w:bCs/>
          <w:kern w:val="2"/>
          <w:szCs w:val="22"/>
          <w14:ligatures w14:val="standardContextual"/>
        </w:rPr>
      </w:pPr>
      <w:r w:rsidRPr="005E29AF">
        <w:rPr>
          <w:rFonts w:ascii="Aptos" w:eastAsia="Aptos" w:hAnsi="Aptos" w:cs="Times New Roman"/>
          <w:b/>
          <w:bCs/>
          <w:kern w:val="2"/>
          <w:szCs w:val="22"/>
          <w14:ligatures w14:val="standardContextual"/>
        </w:rPr>
        <w:t>DRUG INTERACTIONS</w:t>
      </w:r>
    </w:p>
    <w:p w14:paraId="47F5186B" w14:textId="77777777" w:rsidR="005E29AF" w:rsidRPr="005E29AF" w:rsidRDefault="005E29AF" w:rsidP="005E29AF">
      <w:pPr>
        <w:numPr>
          <w:ilvl w:val="0"/>
          <w:numId w:val="8"/>
        </w:numPr>
        <w:spacing w:after="160" w:line="259" w:lineRule="auto"/>
        <w:contextualSpacing/>
        <w:rPr>
          <w:rFonts w:ascii="Aptos" w:eastAsia="Aptos" w:hAnsi="Aptos" w:cs="Times New Roman"/>
          <w:b/>
          <w:bCs/>
          <w:kern w:val="2"/>
          <w:szCs w:val="22"/>
          <w14:ligatures w14:val="standardContextual"/>
        </w:rPr>
      </w:pPr>
      <w:r w:rsidRPr="005E29AF">
        <w:rPr>
          <w:rFonts w:ascii="Aptos" w:eastAsia="Aptos" w:hAnsi="Aptos" w:cs="Times New Roman"/>
          <w:noProof/>
          <w:kern w:val="2"/>
          <w:szCs w:val="22"/>
          <w14:ligatures w14:val="standardContextual"/>
        </w:rPr>
        <w:t>Avoid concomitant use of WAYRILZ with strong or moderate CYP3A inhibitors, which increases the risk of WAYRILZ adverse reactions. If short term use of these inhibitors cannot be avoided, interrupt treatment with WAYRILZ. Avoid concomitant use of grapefruit, starfruit and products containing these fruits, and Seville oranges with WAYRILZ.</w:t>
      </w:r>
    </w:p>
    <w:p w14:paraId="20B6A581" w14:textId="77777777" w:rsidR="005E29AF" w:rsidRPr="005E29AF" w:rsidRDefault="005E29AF" w:rsidP="005E29AF">
      <w:pPr>
        <w:numPr>
          <w:ilvl w:val="0"/>
          <w:numId w:val="8"/>
        </w:numPr>
        <w:spacing w:after="160" w:line="259" w:lineRule="auto"/>
        <w:contextualSpacing/>
        <w:rPr>
          <w:rFonts w:ascii="Aptos" w:eastAsia="Aptos" w:hAnsi="Aptos" w:cs="Times New Roman"/>
          <w:noProof/>
          <w:kern w:val="2"/>
          <w:szCs w:val="22"/>
          <w14:ligatures w14:val="standardContextual"/>
        </w:rPr>
      </w:pPr>
      <w:r w:rsidRPr="005E29AF">
        <w:rPr>
          <w:rFonts w:ascii="Aptos" w:eastAsia="Aptos" w:hAnsi="Aptos" w:cs="Times New Roman"/>
          <w:noProof/>
          <w:kern w:val="2"/>
          <w:szCs w:val="22"/>
          <w14:ligatures w14:val="standardContextual"/>
        </w:rPr>
        <w:t xml:space="preserve">Avoid concomitant use with a strong or moderate CYP3A inducer, which </w:t>
      </w:r>
      <w:r w:rsidRPr="005E29AF">
        <w:rPr>
          <w:rFonts w:ascii="Aptos" w:eastAsia="Aptos" w:hAnsi="Aptos" w:cs="Times New Roman"/>
          <w:kern w:val="2"/>
          <w:szCs w:val="22"/>
          <w14:ligatures w14:val="standardContextual"/>
        </w:rPr>
        <w:t>may reduce WAYRILZ efficacy.</w:t>
      </w:r>
    </w:p>
    <w:p w14:paraId="19F7F72B" w14:textId="77777777" w:rsidR="005E29AF" w:rsidRPr="005E29AF" w:rsidRDefault="005E29AF" w:rsidP="005E29AF">
      <w:pPr>
        <w:numPr>
          <w:ilvl w:val="0"/>
          <w:numId w:val="8"/>
        </w:numPr>
        <w:spacing w:after="160" w:line="259" w:lineRule="auto"/>
        <w:contextualSpacing/>
        <w:rPr>
          <w:rFonts w:ascii="Aptos" w:eastAsia="Aptos" w:hAnsi="Aptos" w:cs="Times New Roman"/>
          <w:noProof/>
          <w:kern w:val="2"/>
          <w:szCs w:val="22"/>
          <w14:ligatures w14:val="standardContextual"/>
        </w:rPr>
      </w:pPr>
      <w:r w:rsidRPr="005E29AF">
        <w:rPr>
          <w:rFonts w:ascii="Aptos" w:eastAsia="Aptos" w:hAnsi="Aptos" w:cs="Times New Roman"/>
          <w:kern w:val="2"/>
          <w:szCs w:val="22"/>
          <w14:ligatures w14:val="standardContextual"/>
        </w:rPr>
        <w:t>Administer the dose of WAYRILZ at least 2 hours before administration of an antacid or histamine H2 receptor antagonist. Avoid concomitant use of proton pump inhibitors with WAYRILZ. Concomitant use of acid reducing agents may reduce WAYRILZ efficacy.</w:t>
      </w:r>
    </w:p>
    <w:p w14:paraId="58D1F407" w14:textId="77777777" w:rsidR="005E29AF" w:rsidRPr="005E29AF" w:rsidRDefault="005E29AF" w:rsidP="005E29AF">
      <w:pPr>
        <w:numPr>
          <w:ilvl w:val="0"/>
          <w:numId w:val="8"/>
        </w:numPr>
        <w:spacing w:after="160" w:line="259" w:lineRule="auto"/>
        <w:contextualSpacing/>
        <w:rPr>
          <w:rFonts w:ascii="Aptos" w:eastAsia="Aptos" w:hAnsi="Aptos" w:cs="Times New Roman"/>
          <w:kern w:val="2"/>
          <w:szCs w:val="22"/>
          <w14:ligatures w14:val="standardContextual"/>
        </w:rPr>
      </w:pPr>
      <w:r w:rsidRPr="005E29AF">
        <w:rPr>
          <w:rFonts w:ascii="Aptos" w:eastAsia="Aptos" w:hAnsi="Aptos" w:cs="Times New Roman"/>
          <w:kern w:val="2"/>
          <w:szCs w:val="22"/>
          <w14:ligatures w14:val="standardContextual"/>
        </w:rPr>
        <w:t xml:space="preserve">Rilzabrutinib is a moderate inhibitor of CYP3A and increases exposure </w:t>
      </w:r>
      <w:proofErr w:type="gramStart"/>
      <w:r w:rsidRPr="005E29AF">
        <w:rPr>
          <w:rFonts w:ascii="Aptos" w:eastAsia="Aptos" w:hAnsi="Aptos" w:cs="Times New Roman"/>
          <w:kern w:val="2"/>
          <w:szCs w:val="22"/>
          <w14:ligatures w14:val="standardContextual"/>
        </w:rPr>
        <w:t>of</w:t>
      </w:r>
      <w:proofErr w:type="gramEnd"/>
      <w:r w:rsidRPr="005E29AF">
        <w:rPr>
          <w:rFonts w:ascii="Aptos" w:eastAsia="Aptos" w:hAnsi="Aptos" w:cs="Times New Roman"/>
          <w:kern w:val="2"/>
          <w:szCs w:val="22"/>
          <w14:ligatures w14:val="standardContextual"/>
        </w:rPr>
        <w:t xml:space="preserve"> these substrates. Monitor for adverse reactions and consider dosage adjustment of the CYP3A substrate.</w:t>
      </w:r>
    </w:p>
    <w:p w14:paraId="098B8E5B" w14:textId="77777777" w:rsidR="005E29AF" w:rsidRPr="005E29AF" w:rsidRDefault="005E29AF" w:rsidP="005E29AF">
      <w:pPr>
        <w:numPr>
          <w:ilvl w:val="0"/>
          <w:numId w:val="8"/>
        </w:numPr>
        <w:spacing w:after="160" w:line="259" w:lineRule="auto"/>
        <w:contextualSpacing/>
        <w:rPr>
          <w:rFonts w:ascii="Aptos" w:eastAsia="Aptos" w:hAnsi="Aptos" w:cs="Times New Roman"/>
          <w:kern w:val="2"/>
          <w:szCs w:val="22"/>
          <w14:ligatures w14:val="standardContextual"/>
        </w:rPr>
      </w:pPr>
      <w:r w:rsidRPr="005E29AF">
        <w:rPr>
          <w:rFonts w:ascii="Aptos" w:eastAsia="Aptos" w:hAnsi="Aptos" w:cs="Times New Roman"/>
          <w:kern w:val="2"/>
          <w:szCs w:val="22"/>
          <w14:ligatures w14:val="standardContextual"/>
        </w:rPr>
        <w:t>Rilzabrutinib is an inhibitor of P-</w:t>
      </w:r>
      <w:proofErr w:type="spellStart"/>
      <w:r w:rsidRPr="005E29AF">
        <w:rPr>
          <w:rFonts w:ascii="Aptos" w:eastAsia="Aptos" w:hAnsi="Aptos" w:cs="Times New Roman"/>
          <w:kern w:val="2"/>
          <w:szCs w:val="22"/>
          <w14:ligatures w14:val="standardContextual"/>
        </w:rPr>
        <w:t>gp</w:t>
      </w:r>
      <w:proofErr w:type="spellEnd"/>
      <w:r w:rsidRPr="005E29AF">
        <w:rPr>
          <w:rFonts w:ascii="Aptos" w:eastAsia="Aptos" w:hAnsi="Aptos" w:cs="Times New Roman"/>
          <w:kern w:val="2"/>
          <w:szCs w:val="22"/>
          <w14:ligatures w14:val="standardContextual"/>
        </w:rPr>
        <w:t xml:space="preserve">, BCRP and OATP1B </w:t>
      </w:r>
      <w:r w:rsidRPr="005E29AF">
        <w:rPr>
          <w:rFonts w:ascii="Aptos" w:eastAsia="Aptos" w:hAnsi="Aptos" w:cs="Times New Roman"/>
          <w:i/>
          <w:iCs/>
          <w:kern w:val="2"/>
          <w:szCs w:val="22"/>
          <w14:ligatures w14:val="standardContextual"/>
        </w:rPr>
        <w:t>in vitro</w:t>
      </w:r>
      <w:r w:rsidRPr="005E29AF">
        <w:rPr>
          <w:rFonts w:ascii="Aptos" w:eastAsia="Aptos" w:hAnsi="Aptos" w:cs="Times New Roman"/>
          <w:kern w:val="2"/>
          <w:szCs w:val="22"/>
          <w14:ligatures w14:val="standardContextual"/>
        </w:rPr>
        <w:t>. The effect of concomitant use of WAYRILZ with OATP1B and BCRP substrates has not been established in clinical studies. Monitor for adverse reactions of the concurrently administered P-</w:t>
      </w:r>
      <w:proofErr w:type="spellStart"/>
      <w:r w:rsidRPr="005E29AF">
        <w:rPr>
          <w:rFonts w:ascii="Aptos" w:eastAsia="Aptos" w:hAnsi="Aptos" w:cs="Times New Roman"/>
          <w:kern w:val="2"/>
          <w:szCs w:val="22"/>
          <w14:ligatures w14:val="standardContextual"/>
        </w:rPr>
        <w:t>gp</w:t>
      </w:r>
      <w:proofErr w:type="spellEnd"/>
      <w:r w:rsidRPr="005E29AF">
        <w:rPr>
          <w:rFonts w:ascii="Aptos" w:eastAsia="Aptos" w:hAnsi="Aptos" w:cs="Times New Roman"/>
          <w:kern w:val="2"/>
          <w:szCs w:val="22"/>
          <w14:ligatures w14:val="standardContextual"/>
        </w:rPr>
        <w:t xml:space="preserve">, BCRP, or OATP1B substrate more frequently where minimal substrate concentration changes may lead to serious adverse reactions. </w:t>
      </w:r>
    </w:p>
    <w:p w14:paraId="49E0FC6B" w14:textId="77777777" w:rsidR="005E29AF" w:rsidRPr="005E29AF" w:rsidRDefault="005E29AF" w:rsidP="005E29AF">
      <w:pPr>
        <w:spacing w:after="160" w:line="259" w:lineRule="auto"/>
        <w:ind w:left="720"/>
        <w:contextualSpacing/>
        <w:rPr>
          <w:rFonts w:ascii="Aptos" w:eastAsia="Aptos" w:hAnsi="Aptos" w:cs="Times New Roman"/>
          <w:noProof/>
          <w:kern w:val="2"/>
          <w:szCs w:val="22"/>
          <w14:ligatures w14:val="standardContextual"/>
        </w:rPr>
      </w:pPr>
    </w:p>
    <w:p w14:paraId="57407A06" w14:textId="77777777" w:rsidR="005E29AF" w:rsidRPr="005E29AF" w:rsidRDefault="005E29AF" w:rsidP="005E29AF">
      <w:pPr>
        <w:spacing w:after="160" w:line="259" w:lineRule="auto"/>
        <w:rPr>
          <w:rFonts w:ascii="Aptos" w:eastAsia="Aptos" w:hAnsi="Aptos" w:cs="Times New Roman"/>
          <w:b/>
          <w:bCs/>
          <w:kern w:val="2"/>
          <w:szCs w:val="22"/>
          <w14:ligatures w14:val="standardContextual"/>
        </w:rPr>
      </w:pPr>
      <w:r w:rsidRPr="005E29AF">
        <w:rPr>
          <w:rFonts w:ascii="Aptos" w:eastAsia="Aptos" w:hAnsi="Aptos" w:cs="Times New Roman"/>
          <w:b/>
          <w:bCs/>
          <w:kern w:val="2"/>
          <w:szCs w:val="22"/>
          <w14:ligatures w14:val="standardContextual"/>
        </w:rPr>
        <w:t>USE IN SPECIFIC POPULATIONS</w:t>
      </w:r>
    </w:p>
    <w:p w14:paraId="5F961A42" w14:textId="77777777" w:rsidR="005E29AF" w:rsidRPr="005E29AF" w:rsidRDefault="005E29AF" w:rsidP="005E29AF">
      <w:pPr>
        <w:numPr>
          <w:ilvl w:val="0"/>
          <w:numId w:val="9"/>
        </w:numPr>
        <w:spacing w:after="160" w:line="259" w:lineRule="auto"/>
        <w:contextualSpacing/>
        <w:rPr>
          <w:rFonts w:ascii="Aptos" w:eastAsia="Aptos" w:hAnsi="Aptos" w:cs="Times New Roman"/>
          <w:kern w:val="2"/>
          <w:szCs w:val="22"/>
          <w14:ligatures w14:val="standardContextual"/>
        </w:rPr>
      </w:pPr>
      <w:r w:rsidRPr="005E29AF">
        <w:rPr>
          <w:rFonts w:ascii="Aptos" w:eastAsia="Aptos" w:hAnsi="Aptos" w:cs="Times New Roman"/>
          <w:b/>
          <w:bCs/>
          <w:kern w:val="2"/>
          <w:szCs w:val="22"/>
          <w14:ligatures w14:val="standardContextual"/>
        </w:rPr>
        <w:t xml:space="preserve">Lactation: </w:t>
      </w:r>
      <w:r w:rsidRPr="005E29AF">
        <w:rPr>
          <w:rFonts w:ascii="Aptos" w:eastAsia="Aptos" w:hAnsi="Aptos" w:cs="Times New Roman"/>
          <w:kern w:val="2"/>
          <w:szCs w:val="22"/>
          <w14:ligatures w14:val="standardContextual"/>
        </w:rPr>
        <w:t>Due to the potential for adverse reactions in a breastfed child, advise lactating women not to breastfeed while taking WAYRILZ and for at least 1 week after the final dose</w:t>
      </w:r>
    </w:p>
    <w:p w14:paraId="1C7A4D44" w14:textId="77777777" w:rsidR="005E29AF" w:rsidRPr="005E29AF" w:rsidRDefault="005E29AF" w:rsidP="005E29AF">
      <w:pPr>
        <w:numPr>
          <w:ilvl w:val="0"/>
          <w:numId w:val="9"/>
        </w:numPr>
        <w:spacing w:after="160" w:line="259" w:lineRule="auto"/>
        <w:contextualSpacing/>
        <w:rPr>
          <w:rFonts w:ascii="Aptos" w:eastAsia="Aptos" w:hAnsi="Aptos" w:cs="Times New Roman"/>
          <w:kern w:val="2"/>
          <w:szCs w:val="22"/>
          <w14:ligatures w14:val="standardContextual"/>
        </w:rPr>
      </w:pPr>
      <w:r w:rsidRPr="005E29AF">
        <w:rPr>
          <w:rFonts w:ascii="Aptos" w:eastAsia="Aptos" w:hAnsi="Aptos" w:cs="Times New Roman"/>
          <w:b/>
          <w:bCs/>
          <w:kern w:val="2"/>
          <w:szCs w:val="22"/>
          <w14:ligatures w14:val="standardContextual"/>
        </w:rPr>
        <w:t>Hepatic Impairment:</w:t>
      </w:r>
      <w:r w:rsidRPr="005E29AF">
        <w:rPr>
          <w:rFonts w:ascii="Aptos" w:eastAsia="Aptos" w:hAnsi="Aptos" w:cs="Times New Roman"/>
          <w:kern w:val="2"/>
          <w:szCs w:val="22"/>
          <w14:ligatures w14:val="standardContextual"/>
        </w:rPr>
        <w:t xml:space="preserve"> Avoid administration of WAYRILZ in patients with moderate or severe hepatic impairment (Child-Pugh class B-C)</w:t>
      </w:r>
    </w:p>
    <w:p w14:paraId="1AF2E3C6" w14:textId="77777777" w:rsidR="005E29AF" w:rsidRPr="005E29AF" w:rsidRDefault="005E29AF" w:rsidP="005E29AF">
      <w:pPr>
        <w:numPr>
          <w:ilvl w:val="0"/>
          <w:numId w:val="9"/>
        </w:numPr>
        <w:spacing w:after="160" w:line="259" w:lineRule="auto"/>
        <w:contextualSpacing/>
        <w:rPr>
          <w:rFonts w:ascii="Aptos" w:eastAsia="Aptos" w:hAnsi="Aptos" w:cs="Times New Roman"/>
          <w:b/>
          <w:bCs/>
          <w:kern w:val="2"/>
          <w:szCs w:val="22"/>
          <w14:ligatures w14:val="standardContextual"/>
        </w:rPr>
      </w:pPr>
      <w:r w:rsidRPr="005E29AF">
        <w:rPr>
          <w:rFonts w:ascii="Aptos" w:eastAsia="Aptos" w:hAnsi="Aptos" w:cs="Times New Roman"/>
          <w:b/>
          <w:bCs/>
          <w:kern w:val="2"/>
          <w:szCs w:val="22"/>
          <w14:ligatures w14:val="standardContextual"/>
        </w:rPr>
        <w:t xml:space="preserve">Renal Impairment: </w:t>
      </w:r>
      <w:r w:rsidRPr="005E29AF">
        <w:rPr>
          <w:rFonts w:ascii="Aptos" w:eastAsia="Aptos" w:hAnsi="Aptos" w:cs="Times New Roman"/>
          <w:kern w:val="2"/>
          <w:szCs w:val="22"/>
          <w14:ligatures w14:val="standardContextual"/>
        </w:rPr>
        <w:t>Avoid use in patients with severe renal impairment</w:t>
      </w:r>
    </w:p>
    <w:p w14:paraId="03E16A1D" w14:textId="77777777" w:rsidR="000E0C5D" w:rsidRDefault="000E0C5D" w:rsidP="000F73B7">
      <w:pPr>
        <w:rPr>
          <w:rFonts w:asciiTheme="minorHAnsi" w:hAnsiTheme="minorHAnsi" w:cstheme="minorHAnsi"/>
          <w:color w:val="FF0000"/>
          <w:sz w:val="24"/>
        </w:rPr>
      </w:pPr>
    </w:p>
    <w:p w14:paraId="2256059C" w14:textId="796065EC" w:rsidR="001D6E36" w:rsidRPr="001D6E36" w:rsidRDefault="001D6E36" w:rsidP="001D6E36">
      <w:pPr>
        <w:rPr>
          <w:rFonts w:asciiTheme="minorHAnsi" w:hAnsiTheme="minorHAnsi" w:cstheme="minorHAnsi"/>
          <w:b/>
          <w:bCs/>
          <w:color w:val="000000" w:themeColor="text1"/>
          <w:sz w:val="24"/>
        </w:rPr>
      </w:pPr>
      <w:r w:rsidRPr="001D6E36">
        <w:rPr>
          <w:rFonts w:asciiTheme="minorHAnsi" w:hAnsiTheme="minorHAnsi" w:cstheme="minorHAnsi"/>
          <w:b/>
          <w:bCs/>
          <w:color w:val="000000" w:themeColor="text1"/>
          <w:sz w:val="24"/>
        </w:rPr>
        <w:t xml:space="preserve">Please see </w:t>
      </w:r>
      <w:r w:rsidR="0091601C">
        <w:rPr>
          <w:rFonts w:asciiTheme="minorHAnsi" w:hAnsiTheme="minorHAnsi" w:cstheme="minorHAnsi"/>
          <w:b/>
          <w:bCs/>
          <w:color w:val="000000" w:themeColor="text1"/>
          <w:sz w:val="24"/>
        </w:rPr>
        <w:t>accompanying Prescribing Information.</w:t>
      </w:r>
    </w:p>
    <w:p w14:paraId="0F848A2A" w14:textId="77777777" w:rsidR="001D6E36" w:rsidRDefault="001D6E36" w:rsidP="000F73B7">
      <w:pPr>
        <w:rPr>
          <w:rFonts w:asciiTheme="minorHAnsi" w:hAnsiTheme="minorHAnsi" w:cstheme="minorHAnsi"/>
          <w:color w:val="FF0000"/>
          <w:sz w:val="24"/>
        </w:rPr>
      </w:pPr>
    </w:p>
    <w:p w14:paraId="2E9F1199" w14:textId="77777777" w:rsidR="000E0C5D" w:rsidRPr="00F0401A" w:rsidRDefault="000E0C5D" w:rsidP="000E0C5D">
      <w:pPr>
        <w:autoSpaceDE w:val="0"/>
        <w:autoSpaceDN w:val="0"/>
        <w:adjustRightInd w:val="0"/>
        <w:rPr>
          <w:rFonts w:asciiTheme="minorHAnsi" w:hAnsiTheme="minorHAnsi" w:cstheme="minorHAnsi"/>
          <w:sz w:val="24"/>
        </w:rPr>
      </w:pPr>
      <w:r w:rsidRPr="00F0401A">
        <w:rPr>
          <w:rFonts w:asciiTheme="minorHAnsi" w:hAnsiTheme="minorHAnsi" w:cstheme="minorHAnsi"/>
          <w:sz w:val="24"/>
        </w:rPr>
        <w:t>Attachments</w:t>
      </w:r>
    </w:p>
    <w:p w14:paraId="2772D52E" w14:textId="44669600" w:rsidR="000E0C5D" w:rsidRDefault="000E0C5D" w:rsidP="000E0C5D">
      <w:pPr>
        <w:pStyle w:val="ListParagraph"/>
        <w:numPr>
          <w:ilvl w:val="0"/>
          <w:numId w:val="5"/>
        </w:numPr>
        <w:autoSpaceDE w:val="0"/>
        <w:autoSpaceDN w:val="0"/>
        <w:adjustRightInd w:val="0"/>
        <w:ind w:left="360"/>
        <w:jc w:val="both"/>
        <w:rPr>
          <w:rFonts w:asciiTheme="minorHAnsi" w:hAnsiTheme="minorHAnsi" w:cstheme="minorHAnsi"/>
          <w:color w:val="FF0000"/>
          <w:sz w:val="24"/>
        </w:rPr>
      </w:pPr>
      <w:r w:rsidRPr="00F0401A">
        <w:rPr>
          <w:rFonts w:asciiTheme="minorHAnsi" w:hAnsiTheme="minorHAnsi" w:cstheme="minorHAnsi"/>
          <w:color w:val="FF0000"/>
          <w:sz w:val="24"/>
        </w:rPr>
        <w:t>[</w:t>
      </w:r>
      <w:r w:rsidR="009D1B56" w:rsidRPr="009D1B56">
        <w:rPr>
          <w:rFonts w:asciiTheme="minorHAnsi" w:hAnsiTheme="minorHAnsi" w:cstheme="minorHAnsi"/>
          <w:color w:val="FF0000"/>
          <w:sz w:val="24"/>
        </w:rPr>
        <w:t>Prior authorization form or denial letter</w:t>
      </w:r>
      <w:r w:rsidRPr="00F0401A">
        <w:rPr>
          <w:rFonts w:asciiTheme="minorHAnsi" w:hAnsiTheme="minorHAnsi" w:cstheme="minorHAnsi"/>
          <w:color w:val="FF0000"/>
          <w:sz w:val="24"/>
        </w:rPr>
        <w:t xml:space="preserve">] </w:t>
      </w:r>
    </w:p>
    <w:p w14:paraId="1AE1C621" w14:textId="71E3DAB9" w:rsidR="00312468" w:rsidRPr="00F0401A" w:rsidRDefault="00312468" w:rsidP="000E0C5D">
      <w:pPr>
        <w:pStyle w:val="ListParagraph"/>
        <w:numPr>
          <w:ilvl w:val="0"/>
          <w:numId w:val="5"/>
        </w:numPr>
        <w:autoSpaceDE w:val="0"/>
        <w:autoSpaceDN w:val="0"/>
        <w:adjustRightInd w:val="0"/>
        <w:ind w:left="360"/>
        <w:jc w:val="both"/>
        <w:rPr>
          <w:rFonts w:asciiTheme="minorHAnsi" w:hAnsiTheme="minorHAnsi" w:cstheme="minorHAnsi"/>
          <w:color w:val="FF0000"/>
          <w:sz w:val="24"/>
        </w:rPr>
      </w:pPr>
      <w:r>
        <w:rPr>
          <w:rFonts w:asciiTheme="minorHAnsi" w:hAnsiTheme="minorHAnsi" w:cstheme="minorHAnsi"/>
          <w:color w:val="FF0000"/>
          <w:sz w:val="24"/>
        </w:rPr>
        <w:t>[WAYRILZ Prescribing Information]</w:t>
      </w:r>
    </w:p>
    <w:p w14:paraId="056BB545" w14:textId="77777777" w:rsidR="000E0C5D" w:rsidRPr="00F0401A" w:rsidRDefault="000E0C5D" w:rsidP="000E0C5D">
      <w:pPr>
        <w:pStyle w:val="ListParagraph"/>
        <w:numPr>
          <w:ilvl w:val="0"/>
          <w:numId w:val="5"/>
        </w:numPr>
        <w:autoSpaceDE w:val="0"/>
        <w:autoSpaceDN w:val="0"/>
        <w:adjustRightInd w:val="0"/>
        <w:ind w:left="360"/>
        <w:jc w:val="both"/>
        <w:rPr>
          <w:rFonts w:asciiTheme="minorHAnsi" w:hAnsiTheme="minorHAnsi" w:cstheme="minorHAnsi"/>
          <w:color w:val="FF0000"/>
          <w:sz w:val="24"/>
        </w:rPr>
      </w:pPr>
      <w:r w:rsidRPr="00F0401A">
        <w:rPr>
          <w:rFonts w:asciiTheme="minorHAnsi" w:hAnsiTheme="minorHAnsi" w:cstheme="minorHAnsi"/>
          <w:color w:val="FF0000"/>
          <w:sz w:val="24"/>
        </w:rPr>
        <w:t xml:space="preserve">[Supporting documentation] </w:t>
      </w:r>
    </w:p>
    <w:p w14:paraId="6B6FA847" w14:textId="10510946" w:rsidR="000C3F9B" w:rsidRDefault="000E0C5D" w:rsidP="000C3F9B">
      <w:pPr>
        <w:pStyle w:val="ListParagraph"/>
        <w:numPr>
          <w:ilvl w:val="0"/>
          <w:numId w:val="5"/>
        </w:numPr>
        <w:autoSpaceDE w:val="0"/>
        <w:autoSpaceDN w:val="0"/>
        <w:adjustRightInd w:val="0"/>
        <w:ind w:left="360"/>
        <w:jc w:val="both"/>
        <w:rPr>
          <w:rFonts w:asciiTheme="minorHAnsi" w:hAnsiTheme="minorHAnsi" w:cstheme="minorHAnsi"/>
          <w:color w:val="FF0000"/>
          <w:sz w:val="24"/>
        </w:rPr>
      </w:pPr>
      <w:r w:rsidRPr="00F0401A">
        <w:rPr>
          <w:rFonts w:asciiTheme="minorHAnsi" w:hAnsiTheme="minorHAnsi" w:cstheme="minorHAnsi"/>
          <w:color w:val="FF0000"/>
          <w:sz w:val="24"/>
        </w:rPr>
        <w:t>[Other]</w:t>
      </w:r>
    </w:p>
    <w:p w14:paraId="53612CA2" w14:textId="3C8C07B4" w:rsidR="00B9128E" w:rsidRPr="00ED4A48" w:rsidRDefault="00B9128E" w:rsidP="002B4AA5">
      <w:pPr>
        <w:rPr>
          <w:rFonts w:asciiTheme="minorHAnsi" w:hAnsiTheme="minorHAnsi" w:cstheme="minorHAnsi"/>
          <w:sz w:val="24"/>
        </w:rPr>
      </w:pPr>
    </w:p>
    <w:p w14:paraId="4C95D789" w14:textId="77777777" w:rsidR="000C3F9B" w:rsidRPr="00861018" w:rsidRDefault="000C3F9B" w:rsidP="000C3F9B">
      <w:pPr>
        <w:autoSpaceDE w:val="0"/>
        <w:autoSpaceDN w:val="0"/>
        <w:adjustRightInd w:val="0"/>
        <w:rPr>
          <w:rFonts w:asciiTheme="minorHAnsi" w:hAnsiTheme="minorHAnsi" w:cstheme="minorHAnsi"/>
          <w:sz w:val="24"/>
        </w:rPr>
      </w:pPr>
    </w:p>
    <w:p w14:paraId="59B7F46D" w14:textId="7F8E9E5F" w:rsidR="00B9128E" w:rsidRPr="000E44E7" w:rsidRDefault="00E67F1F" w:rsidP="002B4AA5">
      <w:pPr>
        <w:rPr>
          <w:rFonts w:ascii="Calibri" w:hAnsi="Calibri" w:cs="Calibri"/>
          <w:sz w:val="24"/>
        </w:rPr>
      </w:pPr>
      <w:r w:rsidRPr="00E67F1F">
        <w:rPr>
          <w:rFonts w:ascii="Calibri" w:hAnsi="Calibri" w:cs="Calibri"/>
          <w:sz w:val="24"/>
        </w:rPr>
        <w:t>MAT-US-2505278</w:t>
      </w:r>
      <w:r w:rsidR="000C3F9B" w:rsidRPr="00E67F1F">
        <w:rPr>
          <w:rFonts w:ascii="Calibri" w:hAnsi="Calibri" w:cs="Calibri"/>
          <w:sz w:val="24"/>
        </w:rPr>
        <w:t>-v1.0-0</w:t>
      </w:r>
      <w:r w:rsidR="001D6E36">
        <w:rPr>
          <w:rFonts w:ascii="Calibri" w:hAnsi="Calibri" w:cs="Calibri"/>
          <w:sz w:val="24"/>
        </w:rPr>
        <w:t>8</w:t>
      </w:r>
      <w:r w:rsidR="000C3F9B" w:rsidRPr="00E67F1F">
        <w:rPr>
          <w:rFonts w:ascii="Calibri" w:hAnsi="Calibri" w:cs="Calibri"/>
          <w:sz w:val="24"/>
        </w:rPr>
        <w:t>/2025</w:t>
      </w:r>
    </w:p>
    <w:p w14:paraId="166C7F8D" w14:textId="5B660A48" w:rsidR="00B9128E" w:rsidRDefault="00B9128E" w:rsidP="002B4AA5">
      <w:pPr>
        <w:rPr>
          <w:rFonts w:asciiTheme="minorHAnsi" w:hAnsiTheme="minorHAnsi" w:cstheme="minorHAnsi"/>
          <w:color w:val="FF0000"/>
          <w:sz w:val="24"/>
        </w:rPr>
      </w:pPr>
    </w:p>
    <w:sectPr w:rsidR="00B9128E">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046E77" w14:textId="77777777" w:rsidR="00C77686" w:rsidRDefault="00C77686" w:rsidP="000F17E3">
      <w:r>
        <w:separator/>
      </w:r>
    </w:p>
  </w:endnote>
  <w:endnote w:type="continuationSeparator" w:id="0">
    <w:p w14:paraId="56F0B46F" w14:textId="77777777" w:rsidR="00C77686" w:rsidRDefault="00C77686" w:rsidP="000F17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28BA61" w14:textId="77777777" w:rsidR="00C77686" w:rsidRDefault="00C77686" w:rsidP="000F17E3">
      <w:r>
        <w:separator/>
      </w:r>
    </w:p>
  </w:footnote>
  <w:footnote w:type="continuationSeparator" w:id="0">
    <w:p w14:paraId="5E8ACBBA" w14:textId="77777777" w:rsidR="00C77686" w:rsidRDefault="00C77686" w:rsidP="000F17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AE257A1D"/>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7836132"/>
    <w:multiLevelType w:val="hybridMultilevel"/>
    <w:tmpl w:val="16A07B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8DC1B57"/>
    <w:multiLevelType w:val="hybridMultilevel"/>
    <w:tmpl w:val="161CB0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B609CF"/>
    <w:multiLevelType w:val="hybridMultilevel"/>
    <w:tmpl w:val="EBCA3D64"/>
    <w:lvl w:ilvl="0" w:tplc="A224EBDA">
      <w:start w:val="1"/>
      <w:numFmt w:val="bullet"/>
      <w:lvlText w:val="•"/>
      <w:lvlJc w:val="left"/>
      <w:pPr>
        <w:tabs>
          <w:tab w:val="num" w:pos="720"/>
        </w:tabs>
        <w:ind w:left="720" w:hanging="360"/>
      </w:pPr>
      <w:rPr>
        <w:rFonts w:ascii="Arial" w:hAnsi="Arial" w:hint="default"/>
      </w:rPr>
    </w:lvl>
    <w:lvl w:ilvl="1" w:tplc="B044BE60" w:tentative="1">
      <w:start w:val="1"/>
      <w:numFmt w:val="bullet"/>
      <w:lvlText w:val="•"/>
      <w:lvlJc w:val="left"/>
      <w:pPr>
        <w:tabs>
          <w:tab w:val="num" w:pos="1440"/>
        </w:tabs>
        <w:ind w:left="1440" w:hanging="360"/>
      </w:pPr>
      <w:rPr>
        <w:rFonts w:ascii="Arial" w:hAnsi="Arial" w:hint="default"/>
      </w:rPr>
    </w:lvl>
    <w:lvl w:ilvl="2" w:tplc="174CFF28" w:tentative="1">
      <w:start w:val="1"/>
      <w:numFmt w:val="bullet"/>
      <w:lvlText w:val="•"/>
      <w:lvlJc w:val="left"/>
      <w:pPr>
        <w:tabs>
          <w:tab w:val="num" w:pos="2160"/>
        </w:tabs>
        <w:ind w:left="2160" w:hanging="360"/>
      </w:pPr>
      <w:rPr>
        <w:rFonts w:ascii="Arial" w:hAnsi="Arial" w:hint="default"/>
      </w:rPr>
    </w:lvl>
    <w:lvl w:ilvl="3" w:tplc="59F8DD7A" w:tentative="1">
      <w:start w:val="1"/>
      <w:numFmt w:val="bullet"/>
      <w:lvlText w:val="•"/>
      <w:lvlJc w:val="left"/>
      <w:pPr>
        <w:tabs>
          <w:tab w:val="num" w:pos="2880"/>
        </w:tabs>
        <w:ind w:left="2880" w:hanging="360"/>
      </w:pPr>
      <w:rPr>
        <w:rFonts w:ascii="Arial" w:hAnsi="Arial" w:hint="default"/>
      </w:rPr>
    </w:lvl>
    <w:lvl w:ilvl="4" w:tplc="182817F6" w:tentative="1">
      <w:start w:val="1"/>
      <w:numFmt w:val="bullet"/>
      <w:lvlText w:val="•"/>
      <w:lvlJc w:val="left"/>
      <w:pPr>
        <w:tabs>
          <w:tab w:val="num" w:pos="3600"/>
        </w:tabs>
        <w:ind w:left="3600" w:hanging="360"/>
      </w:pPr>
      <w:rPr>
        <w:rFonts w:ascii="Arial" w:hAnsi="Arial" w:hint="default"/>
      </w:rPr>
    </w:lvl>
    <w:lvl w:ilvl="5" w:tplc="ADFE8428" w:tentative="1">
      <w:start w:val="1"/>
      <w:numFmt w:val="bullet"/>
      <w:lvlText w:val="•"/>
      <w:lvlJc w:val="left"/>
      <w:pPr>
        <w:tabs>
          <w:tab w:val="num" w:pos="4320"/>
        </w:tabs>
        <w:ind w:left="4320" w:hanging="360"/>
      </w:pPr>
      <w:rPr>
        <w:rFonts w:ascii="Arial" w:hAnsi="Arial" w:hint="default"/>
      </w:rPr>
    </w:lvl>
    <w:lvl w:ilvl="6" w:tplc="943E9934" w:tentative="1">
      <w:start w:val="1"/>
      <w:numFmt w:val="bullet"/>
      <w:lvlText w:val="•"/>
      <w:lvlJc w:val="left"/>
      <w:pPr>
        <w:tabs>
          <w:tab w:val="num" w:pos="5040"/>
        </w:tabs>
        <w:ind w:left="5040" w:hanging="360"/>
      </w:pPr>
      <w:rPr>
        <w:rFonts w:ascii="Arial" w:hAnsi="Arial" w:hint="default"/>
      </w:rPr>
    </w:lvl>
    <w:lvl w:ilvl="7" w:tplc="CDA86142" w:tentative="1">
      <w:start w:val="1"/>
      <w:numFmt w:val="bullet"/>
      <w:lvlText w:val="•"/>
      <w:lvlJc w:val="left"/>
      <w:pPr>
        <w:tabs>
          <w:tab w:val="num" w:pos="5760"/>
        </w:tabs>
        <w:ind w:left="5760" w:hanging="360"/>
      </w:pPr>
      <w:rPr>
        <w:rFonts w:ascii="Arial" w:hAnsi="Arial" w:hint="default"/>
      </w:rPr>
    </w:lvl>
    <w:lvl w:ilvl="8" w:tplc="7F767A98" w:tentative="1">
      <w:start w:val="1"/>
      <w:numFmt w:val="bullet"/>
      <w:lvlText w:val="•"/>
      <w:lvlJc w:val="left"/>
      <w:pPr>
        <w:tabs>
          <w:tab w:val="num" w:pos="6480"/>
        </w:tabs>
        <w:ind w:left="6480" w:hanging="360"/>
      </w:pPr>
      <w:rPr>
        <w:rFonts w:ascii="Arial" w:hAnsi="Arial" w:hint="default"/>
      </w:rPr>
    </w:lvl>
  </w:abstractNum>
  <w:abstractNum w:abstractNumId="4" w15:restartNumberingAfterBreak="0">
    <w:nsid w:val="2E8F51C8"/>
    <w:multiLevelType w:val="hybridMultilevel"/>
    <w:tmpl w:val="2AF8DAFC"/>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39953B9F"/>
    <w:multiLevelType w:val="hybridMultilevel"/>
    <w:tmpl w:val="C1209A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7262E20"/>
    <w:multiLevelType w:val="hybridMultilevel"/>
    <w:tmpl w:val="627EDF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0CC7F87"/>
    <w:multiLevelType w:val="hybridMultilevel"/>
    <w:tmpl w:val="4F9A16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9DD75E3"/>
    <w:multiLevelType w:val="hybridMultilevel"/>
    <w:tmpl w:val="A330D6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47285593">
    <w:abstractNumId w:val="0"/>
  </w:num>
  <w:num w:numId="2" w16cid:durableId="891770023">
    <w:abstractNumId w:val="3"/>
  </w:num>
  <w:num w:numId="3" w16cid:durableId="1345597806">
    <w:abstractNumId w:val="8"/>
  </w:num>
  <w:num w:numId="4" w16cid:durableId="2062241774">
    <w:abstractNumId w:val="4"/>
  </w:num>
  <w:num w:numId="5" w16cid:durableId="1473596958">
    <w:abstractNumId w:val="1"/>
  </w:num>
  <w:num w:numId="6" w16cid:durableId="159195552">
    <w:abstractNumId w:val="6"/>
  </w:num>
  <w:num w:numId="7" w16cid:durableId="1038237572">
    <w:abstractNumId w:val="5"/>
  </w:num>
  <w:num w:numId="8" w16cid:durableId="41561497">
    <w:abstractNumId w:val="7"/>
  </w:num>
  <w:num w:numId="9" w16cid:durableId="193065259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F17E3"/>
    <w:rsid w:val="00037A5C"/>
    <w:rsid w:val="00076B7F"/>
    <w:rsid w:val="0008013C"/>
    <w:rsid w:val="00087E40"/>
    <w:rsid w:val="000909FE"/>
    <w:rsid w:val="000A64FE"/>
    <w:rsid w:val="000B01A9"/>
    <w:rsid w:val="000B0714"/>
    <w:rsid w:val="000C3F9B"/>
    <w:rsid w:val="000D334B"/>
    <w:rsid w:val="000E0C5D"/>
    <w:rsid w:val="000E44E7"/>
    <w:rsid w:val="000F17E3"/>
    <w:rsid w:val="000F73B7"/>
    <w:rsid w:val="001059A6"/>
    <w:rsid w:val="0011551B"/>
    <w:rsid w:val="00150AD5"/>
    <w:rsid w:val="0018229B"/>
    <w:rsid w:val="00184EC7"/>
    <w:rsid w:val="00185A40"/>
    <w:rsid w:val="001C715A"/>
    <w:rsid w:val="001C729D"/>
    <w:rsid w:val="001D6E36"/>
    <w:rsid w:val="001F545D"/>
    <w:rsid w:val="00221116"/>
    <w:rsid w:val="002365B2"/>
    <w:rsid w:val="00242031"/>
    <w:rsid w:val="002448E3"/>
    <w:rsid w:val="00296A3D"/>
    <w:rsid w:val="002A4018"/>
    <w:rsid w:val="002B3AFD"/>
    <w:rsid w:val="002B4AA5"/>
    <w:rsid w:val="002E55A7"/>
    <w:rsid w:val="002E65C9"/>
    <w:rsid w:val="0031067C"/>
    <w:rsid w:val="0031188D"/>
    <w:rsid w:val="00312468"/>
    <w:rsid w:val="003353B9"/>
    <w:rsid w:val="00345DA6"/>
    <w:rsid w:val="003871D9"/>
    <w:rsid w:val="003C2595"/>
    <w:rsid w:val="003D02FA"/>
    <w:rsid w:val="003D14A8"/>
    <w:rsid w:val="003D7BB2"/>
    <w:rsid w:val="003F515F"/>
    <w:rsid w:val="003F56E1"/>
    <w:rsid w:val="0041091B"/>
    <w:rsid w:val="00443755"/>
    <w:rsid w:val="00461C60"/>
    <w:rsid w:val="004621AF"/>
    <w:rsid w:val="0048788D"/>
    <w:rsid w:val="004A4035"/>
    <w:rsid w:val="004A4CF7"/>
    <w:rsid w:val="004C349A"/>
    <w:rsid w:val="004E1CB8"/>
    <w:rsid w:val="00501F6D"/>
    <w:rsid w:val="005328E0"/>
    <w:rsid w:val="0053573C"/>
    <w:rsid w:val="00557F05"/>
    <w:rsid w:val="00561661"/>
    <w:rsid w:val="00573296"/>
    <w:rsid w:val="00587D2D"/>
    <w:rsid w:val="005915D1"/>
    <w:rsid w:val="00594D16"/>
    <w:rsid w:val="00595D07"/>
    <w:rsid w:val="005A133A"/>
    <w:rsid w:val="005B2246"/>
    <w:rsid w:val="005C4C55"/>
    <w:rsid w:val="005E29AF"/>
    <w:rsid w:val="005F096E"/>
    <w:rsid w:val="005F5D59"/>
    <w:rsid w:val="00604C80"/>
    <w:rsid w:val="006113D0"/>
    <w:rsid w:val="00624C09"/>
    <w:rsid w:val="0062566C"/>
    <w:rsid w:val="006261C8"/>
    <w:rsid w:val="00627132"/>
    <w:rsid w:val="00646FB0"/>
    <w:rsid w:val="006520E3"/>
    <w:rsid w:val="00677004"/>
    <w:rsid w:val="00681BDC"/>
    <w:rsid w:val="006961D3"/>
    <w:rsid w:val="006A4B52"/>
    <w:rsid w:val="006B6115"/>
    <w:rsid w:val="006B6BEF"/>
    <w:rsid w:val="006F6E29"/>
    <w:rsid w:val="00723329"/>
    <w:rsid w:val="00743E9E"/>
    <w:rsid w:val="0076338A"/>
    <w:rsid w:val="00777D11"/>
    <w:rsid w:val="0079605D"/>
    <w:rsid w:val="007A2F3C"/>
    <w:rsid w:val="007A5033"/>
    <w:rsid w:val="007D5C23"/>
    <w:rsid w:val="007E3EBF"/>
    <w:rsid w:val="007F439C"/>
    <w:rsid w:val="007F59DC"/>
    <w:rsid w:val="007F5D55"/>
    <w:rsid w:val="00801F38"/>
    <w:rsid w:val="00873ADF"/>
    <w:rsid w:val="00874FAC"/>
    <w:rsid w:val="0089146A"/>
    <w:rsid w:val="008969C4"/>
    <w:rsid w:val="008A3A89"/>
    <w:rsid w:val="008B6E81"/>
    <w:rsid w:val="00904374"/>
    <w:rsid w:val="0091052F"/>
    <w:rsid w:val="0091601C"/>
    <w:rsid w:val="00924340"/>
    <w:rsid w:val="00926CE2"/>
    <w:rsid w:val="0095270D"/>
    <w:rsid w:val="009770AB"/>
    <w:rsid w:val="009A26A8"/>
    <w:rsid w:val="009A5F86"/>
    <w:rsid w:val="009A794A"/>
    <w:rsid w:val="009A7D2E"/>
    <w:rsid w:val="009D1B56"/>
    <w:rsid w:val="009E5F13"/>
    <w:rsid w:val="009F7835"/>
    <w:rsid w:val="00A12646"/>
    <w:rsid w:val="00A34247"/>
    <w:rsid w:val="00A42868"/>
    <w:rsid w:val="00A43CA7"/>
    <w:rsid w:val="00A62436"/>
    <w:rsid w:val="00A929D0"/>
    <w:rsid w:val="00AB396A"/>
    <w:rsid w:val="00AC51D4"/>
    <w:rsid w:val="00AF0EE9"/>
    <w:rsid w:val="00B35A2E"/>
    <w:rsid w:val="00B37D27"/>
    <w:rsid w:val="00B53600"/>
    <w:rsid w:val="00B601E1"/>
    <w:rsid w:val="00B748EB"/>
    <w:rsid w:val="00B86E0F"/>
    <w:rsid w:val="00B87632"/>
    <w:rsid w:val="00B9128E"/>
    <w:rsid w:val="00BD21AA"/>
    <w:rsid w:val="00BD7DDF"/>
    <w:rsid w:val="00C04B71"/>
    <w:rsid w:val="00C4348F"/>
    <w:rsid w:val="00C455B7"/>
    <w:rsid w:val="00C73A60"/>
    <w:rsid w:val="00C77686"/>
    <w:rsid w:val="00C93DF3"/>
    <w:rsid w:val="00CA00B4"/>
    <w:rsid w:val="00CA4D72"/>
    <w:rsid w:val="00CA6299"/>
    <w:rsid w:val="00CD1BF0"/>
    <w:rsid w:val="00D24771"/>
    <w:rsid w:val="00D27A1A"/>
    <w:rsid w:val="00D74EF6"/>
    <w:rsid w:val="00D804E1"/>
    <w:rsid w:val="00DA4850"/>
    <w:rsid w:val="00DB42D5"/>
    <w:rsid w:val="00DC5B3A"/>
    <w:rsid w:val="00DD77BF"/>
    <w:rsid w:val="00DF4F11"/>
    <w:rsid w:val="00E13CD6"/>
    <w:rsid w:val="00E67F1F"/>
    <w:rsid w:val="00E74DB8"/>
    <w:rsid w:val="00E81D74"/>
    <w:rsid w:val="00E857DA"/>
    <w:rsid w:val="00EA2726"/>
    <w:rsid w:val="00EB0C4B"/>
    <w:rsid w:val="00ED1C9E"/>
    <w:rsid w:val="00ED4A48"/>
    <w:rsid w:val="00EE39CE"/>
    <w:rsid w:val="00EE4893"/>
    <w:rsid w:val="00EE70CA"/>
    <w:rsid w:val="00EF3AE3"/>
    <w:rsid w:val="00EF6927"/>
    <w:rsid w:val="00EF7E10"/>
    <w:rsid w:val="00F12CEE"/>
    <w:rsid w:val="00F42F07"/>
    <w:rsid w:val="00F629BF"/>
    <w:rsid w:val="00F63706"/>
    <w:rsid w:val="00F63B35"/>
    <w:rsid w:val="00FA225A"/>
    <w:rsid w:val="00FC00EB"/>
    <w:rsid w:val="00FD5A86"/>
    <w:rsid w:val="00FF42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EBE0F1F"/>
  <w15:chartTrackingRefBased/>
  <w15:docId w15:val="{E39DF03D-D584-4FD4-9000-0075B973A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8229B"/>
    <w:pPr>
      <w:spacing w:after="0" w:line="240" w:lineRule="auto"/>
    </w:pPr>
    <w:rPr>
      <w:rFonts w:ascii="Arial" w:eastAsia="Times New Roman" w:hAnsi="Arial" w:cs="Arial"/>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F17E3"/>
    <w:pPr>
      <w:tabs>
        <w:tab w:val="center" w:pos="4680"/>
        <w:tab w:val="right" w:pos="9360"/>
      </w:tabs>
    </w:pPr>
    <w:rPr>
      <w:rFonts w:asciiTheme="minorHAnsi" w:eastAsiaTheme="minorHAnsi" w:hAnsiTheme="minorHAnsi" w:cstheme="minorBidi"/>
      <w:szCs w:val="22"/>
    </w:rPr>
  </w:style>
  <w:style w:type="character" w:customStyle="1" w:styleId="HeaderChar">
    <w:name w:val="Header Char"/>
    <w:basedOn w:val="DefaultParagraphFont"/>
    <w:link w:val="Header"/>
    <w:uiPriority w:val="99"/>
    <w:rsid w:val="000F17E3"/>
  </w:style>
  <w:style w:type="paragraph" w:styleId="Footer">
    <w:name w:val="footer"/>
    <w:basedOn w:val="Normal"/>
    <w:link w:val="FooterChar"/>
    <w:uiPriority w:val="99"/>
    <w:unhideWhenUsed/>
    <w:rsid w:val="000F17E3"/>
    <w:pPr>
      <w:tabs>
        <w:tab w:val="center" w:pos="4680"/>
        <w:tab w:val="right" w:pos="9360"/>
      </w:tabs>
    </w:pPr>
    <w:rPr>
      <w:rFonts w:asciiTheme="minorHAnsi" w:eastAsiaTheme="minorHAnsi" w:hAnsiTheme="minorHAnsi" w:cstheme="minorBidi"/>
      <w:szCs w:val="22"/>
    </w:rPr>
  </w:style>
  <w:style w:type="character" w:customStyle="1" w:styleId="FooterChar">
    <w:name w:val="Footer Char"/>
    <w:basedOn w:val="DefaultParagraphFont"/>
    <w:link w:val="Footer"/>
    <w:uiPriority w:val="99"/>
    <w:rsid w:val="000F17E3"/>
  </w:style>
  <w:style w:type="paragraph" w:customStyle="1" w:styleId="Default">
    <w:name w:val="Default"/>
    <w:rsid w:val="000F17E3"/>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18229B"/>
    <w:pPr>
      <w:ind w:left="720"/>
      <w:contextualSpacing/>
    </w:pPr>
  </w:style>
  <w:style w:type="paragraph" w:styleId="Revision">
    <w:name w:val="Revision"/>
    <w:hidden/>
    <w:uiPriority w:val="99"/>
    <w:semiHidden/>
    <w:rsid w:val="00FA225A"/>
    <w:pPr>
      <w:spacing w:after="0" w:line="240" w:lineRule="auto"/>
    </w:pPr>
    <w:rPr>
      <w:rFonts w:ascii="Arial" w:eastAsia="Times New Roman" w:hAnsi="Arial" w:cs="Arial"/>
      <w:szCs w:val="24"/>
    </w:rPr>
  </w:style>
  <w:style w:type="character" w:styleId="CommentReference">
    <w:name w:val="annotation reference"/>
    <w:basedOn w:val="DefaultParagraphFont"/>
    <w:uiPriority w:val="99"/>
    <w:semiHidden/>
    <w:unhideWhenUsed/>
    <w:rsid w:val="00150AD5"/>
    <w:rPr>
      <w:sz w:val="16"/>
      <w:szCs w:val="16"/>
    </w:rPr>
  </w:style>
  <w:style w:type="paragraph" w:styleId="CommentText">
    <w:name w:val="annotation text"/>
    <w:basedOn w:val="Normal"/>
    <w:link w:val="CommentTextChar"/>
    <w:uiPriority w:val="99"/>
    <w:unhideWhenUsed/>
    <w:rsid w:val="00150AD5"/>
    <w:rPr>
      <w:sz w:val="20"/>
      <w:szCs w:val="20"/>
    </w:rPr>
  </w:style>
  <w:style w:type="character" w:customStyle="1" w:styleId="CommentTextChar">
    <w:name w:val="Comment Text Char"/>
    <w:basedOn w:val="DefaultParagraphFont"/>
    <w:link w:val="CommentText"/>
    <w:uiPriority w:val="99"/>
    <w:rsid w:val="00150AD5"/>
    <w:rPr>
      <w:rFonts w:ascii="Arial" w:eastAsia="Times New Roman" w:hAnsi="Arial" w:cs="Arial"/>
      <w:sz w:val="20"/>
      <w:szCs w:val="20"/>
    </w:rPr>
  </w:style>
  <w:style w:type="paragraph" w:styleId="CommentSubject">
    <w:name w:val="annotation subject"/>
    <w:basedOn w:val="CommentText"/>
    <w:next w:val="CommentText"/>
    <w:link w:val="CommentSubjectChar"/>
    <w:uiPriority w:val="99"/>
    <w:semiHidden/>
    <w:unhideWhenUsed/>
    <w:rsid w:val="00150AD5"/>
    <w:rPr>
      <w:b/>
      <w:bCs/>
    </w:rPr>
  </w:style>
  <w:style w:type="character" w:customStyle="1" w:styleId="CommentSubjectChar">
    <w:name w:val="Comment Subject Char"/>
    <w:basedOn w:val="CommentTextChar"/>
    <w:link w:val="CommentSubject"/>
    <w:uiPriority w:val="99"/>
    <w:semiHidden/>
    <w:rsid w:val="00150AD5"/>
    <w:rPr>
      <w:rFonts w:ascii="Arial" w:eastAsia="Times New Roman" w:hAnsi="Arial" w:cs="Arial"/>
      <w:b/>
      <w:bCs/>
      <w:sz w:val="20"/>
      <w:szCs w:val="20"/>
    </w:rPr>
  </w:style>
  <w:style w:type="paragraph" w:styleId="Title">
    <w:name w:val="Title"/>
    <w:basedOn w:val="Normal"/>
    <w:link w:val="TitleChar"/>
    <w:qFormat/>
    <w:rsid w:val="000C3F9B"/>
    <w:pPr>
      <w:jc w:val="center"/>
    </w:pPr>
    <w:rPr>
      <w:b/>
      <w:bCs/>
      <w:sz w:val="20"/>
    </w:rPr>
  </w:style>
  <w:style w:type="character" w:customStyle="1" w:styleId="TitleChar">
    <w:name w:val="Title Char"/>
    <w:basedOn w:val="DefaultParagraphFont"/>
    <w:link w:val="Title"/>
    <w:rsid w:val="000C3F9B"/>
    <w:rPr>
      <w:rFonts w:ascii="Arial" w:eastAsia="Times New Roman" w:hAnsi="Arial" w:cs="Arial"/>
      <w:b/>
      <w:bCs/>
      <w:sz w:val="20"/>
      <w:szCs w:val="24"/>
    </w:rPr>
  </w:style>
  <w:style w:type="character" w:styleId="Hyperlink">
    <w:name w:val="Hyperlink"/>
    <w:basedOn w:val="DefaultParagraphFont"/>
    <w:uiPriority w:val="99"/>
    <w:unhideWhenUsed/>
    <w:rsid w:val="005E29AF"/>
    <w:rPr>
      <w:color w:val="0563C1" w:themeColor="hyperlink"/>
      <w:u w:val="single"/>
    </w:rPr>
  </w:style>
  <w:style w:type="character" w:styleId="UnresolvedMention">
    <w:name w:val="Unresolved Mention"/>
    <w:basedOn w:val="DefaultParagraphFont"/>
    <w:uiPriority w:val="99"/>
    <w:semiHidden/>
    <w:unhideWhenUsed/>
    <w:rsid w:val="005E29A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9290938">
      <w:bodyDiv w:val="1"/>
      <w:marLeft w:val="0"/>
      <w:marRight w:val="0"/>
      <w:marTop w:val="0"/>
      <w:marBottom w:val="0"/>
      <w:divBdr>
        <w:top w:val="none" w:sz="0" w:space="0" w:color="auto"/>
        <w:left w:val="none" w:sz="0" w:space="0" w:color="auto"/>
        <w:bottom w:val="none" w:sz="0" w:space="0" w:color="auto"/>
        <w:right w:val="none" w:sz="0" w:space="0" w:color="auto"/>
      </w:divBdr>
    </w:div>
    <w:div w:id="1833250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C30768-B4F2-45F2-89D1-C6F94DC183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Pages>
  <Words>1058</Words>
  <Characters>6036</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Flynn</dc:creator>
  <cp:keywords/>
  <dc:description/>
  <cp:lastModifiedBy>Courtney Ross</cp:lastModifiedBy>
  <cp:revision>8</cp:revision>
  <dcterms:created xsi:type="dcterms:W3CDTF">2025-08-30T02:15:00Z</dcterms:created>
  <dcterms:modified xsi:type="dcterms:W3CDTF">2025-08-30T02:35:00Z</dcterms:modified>
</cp:coreProperties>
</file>